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8"/>
        <w:spacing w:line="0" w:lineRule="atLeast"/>
        <w:rPr>
          <w:rFonts w:hAnsi="宋体"/>
          <w:b/>
          <w:sz w:val="32"/>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400" w:lineRule="exact"/>
        <w:rPr>
          <w:rFonts w:hAnsi="宋体"/>
          <w:b/>
          <w:sz w:val="36"/>
        </w:rPr>
      </w:pPr>
    </w:p>
    <w:p>
      <w:pPr>
        <w:pStyle w:val="8"/>
        <w:spacing w:line="400" w:lineRule="exact"/>
        <w:rPr>
          <w:rFonts w:hAnsi="宋体"/>
          <w:b/>
          <w:sz w:val="36"/>
        </w:rPr>
      </w:pPr>
    </w:p>
    <w:p>
      <w:pPr>
        <w:pStyle w:val="8"/>
        <w:spacing w:line="640" w:lineRule="exact"/>
        <w:rPr>
          <w:rFonts w:hAnsi="宋体"/>
          <w:b/>
          <w:sz w:val="32"/>
          <w:szCs w:val="32"/>
        </w:rPr>
      </w:pPr>
      <w:r>
        <w:rPr>
          <w:rFonts w:hint="eastAsia" w:hAnsi="宋体"/>
          <w:b/>
          <w:sz w:val="32"/>
          <w:szCs w:val="32"/>
        </w:rPr>
        <w:t>项目编号：FJCZX2024113</w:t>
      </w:r>
    </w:p>
    <w:p>
      <w:pPr>
        <w:pStyle w:val="8"/>
        <w:spacing w:line="640" w:lineRule="exact"/>
        <w:rPr>
          <w:rFonts w:hAnsi="宋体"/>
          <w:b/>
          <w:sz w:val="32"/>
          <w:szCs w:val="32"/>
          <w:u w:val="single"/>
        </w:rPr>
      </w:pPr>
      <w:r>
        <w:rPr>
          <w:rFonts w:hint="eastAsia" w:hAnsi="宋体"/>
          <w:b/>
          <w:sz w:val="32"/>
          <w:szCs w:val="32"/>
        </w:rPr>
        <w:t>项目名称：福建省土壤样品库信息管理一体化系统采购项目</w:t>
      </w:r>
    </w:p>
    <w:p>
      <w:pPr>
        <w:pStyle w:val="8"/>
        <w:spacing w:line="640" w:lineRule="exact"/>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福建晨至信招标代理有限公司</w:t>
      </w:r>
    </w:p>
    <w:p>
      <w:pPr>
        <w:spacing w:line="500" w:lineRule="exact"/>
        <w:jc w:val="center"/>
        <w:rPr>
          <w:rFonts w:ascii="宋体" w:hAnsi="宋体"/>
          <w:b/>
          <w:sz w:val="32"/>
          <w:szCs w:val="32"/>
        </w:rPr>
      </w:pPr>
      <w:r>
        <w:rPr>
          <w:rFonts w:hint="eastAsia" w:ascii="宋体" w:hAnsi="宋体"/>
          <w:b/>
          <w:sz w:val="32"/>
          <w:szCs w:val="32"/>
        </w:rPr>
        <w:t>二〇二四年六月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rPr>
      </w:pPr>
      <w:r>
        <w:rPr>
          <w:rFonts w:hint="eastAsia" w:ascii="宋体" w:hAnsi="宋体"/>
          <w:b/>
        </w:rPr>
        <w:t>地    址：福州市鼓楼区福马路45号闽古屋4号楼3层</w:t>
      </w:r>
    </w:p>
    <w:p>
      <w:pPr>
        <w:snapToGrid w:val="0"/>
        <w:spacing w:line="400" w:lineRule="exact"/>
        <w:rPr>
          <w:rFonts w:ascii="宋体" w:hAnsi="宋体" w:cs="宋体"/>
          <w:b/>
          <w:bCs/>
          <w:szCs w:val="28"/>
          <w:lang w:val="zh-CN"/>
        </w:rPr>
      </w:pPr>
      <w:r>
        <w:rPr>
          <w:rFonts w:hint="eastAsia" w:ascii="宋体" w:hAnsi="宋体"/>
          <w:b/>
        </w:rPr>
        <w:t>电    话：0591-83308367</w:t>
      </w:r>
    </w:p>
    <w:p>
      <w:pPr>
        <w:snapToGrid w:val="0"/>
        <w:spacing w:line="400" w:lineRule="exact"/>
        <w:rPr>
          <w:rFonts w:ascii="宋体" w:hAnsi="宋体"/>
          <w:b/>
        </w:rPr>
      </w:pPr>
      <w:r>
        <w:rPr>
          <w:rFonts w:hint="eastAsia" w:ascii="宋体" w:hAnsi="宋体"/>
          <w:b/>
        </w:rPr>
        <w:t>邮    编：350000</w:t>
      </w:r>
    </w:p>
    <w:p>
      <w:pPr>
        <w:snapToGrid w:val="0"/>
        <w:spacing w:line="400" w:lineRule="exact"/>
        <w:rPr>
          <w:rFonts w:ascii="宋体" w:hAnsi="宋体"/>
          <w:b/>
        </w:rPr>
      </w:pPr>
      <w:r>
        <w:rPr>
          <w:rFonts w:hint="eastAsia" w:ascii="宋体" w:hAnsi="宋体"/>
          <w:b/>
        </w:rPr>
        <w:t xml:space="preserve">传    真：0591-87848515             </w:t>
      </w:r>
    </w:p>
    <w:p>
      <w:pPr>
        <w:snapToGrid w:val="0"/>
        <w:spacing w:line="400" w:lineRule="exact"/>
        <w:rPr>
          <w:rFonts w:ascii="宋体" w:hAnsi="宋体"/>
          <w:b/>
        </w:rPr>
      </w:pPr>
      <w:r>
        <w:rPr>
          <w:rFonts w:hint="eastAsia" w:ascii="宋体" w:hAnsi="宋体"/>
          <w:b/>
        </w:rPr>
        <w:t>网    址：</w:t>
      </w:r>
      <w:r>
        <w:fldChar w:fldCharType="begin"/>
      </w:r>
      <w:r>
        <w:instrText xml:space="preserve"> HYPERLINK "http://www.fjczx.com" </w:instrText>
      </w:r>
      <w:r>
        <w:fldChar w:fldCharType="separate"/>
      </w:r>
      <w:r>
        <w:rPr>
          <w:rFonts w:ascii="宋体" w:hAnsi="宋体"/>
          <w:b/>
        </w:rPr>
        <w:t>www.fjczx.com</w:t>
      </w:r>
      <w:r>
        <w:rPr>
          <w:rFonts w:ascii="宋体" w:hAnsi="宋体"/>
          <w:b/>
        </w:rPr>
        <w:fldChar w:fldCharType="end"/>
      </w:r>
    </w:p>
    <w:p>
      <w:pPr>
        <w:pStyle w:val="18"/>
        <w:ind w:left="0" w:leftChars="0" w:firstLine="0" w:firstLineChars="0"/>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福建晨至信招标代理有限公司现邀请合格的供应商对以下采购项目进行网上竞价。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1、项目编号：FJCZX2024113</w:t>
      </w:r>
    </w:p>
    <w:p>
      <w:pPr>
        <w:spacing w:line="440" w:lineRule="exact"/>
        <w:ind w:firstLine="480" w:firstLineChars="200"/>
        <w:rPr>
          <w:rFonts w:ascii="宋体" w:hAnsi="宋体"/>
          <w:sz w:val="24"/>
          <w:szCs w:val="24"/>
        </w:rPr>
      </w:pPr>
      <w:r>
        <w:rPr>
          <w:rFonts w:hint="eastAsia" w:ascii="宋体" w:hAnsi="宋体"/>
          <w:sz w:val="24"/>
          <w:szCs w:val="24"/>
        </w:rPr>
        <w:t>2、项目名称：福建省土壤样品库信息管理一体化系统采购项目</w:t>
      </w:r>
    </w:p>
    <w:p>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4、合同包总数：1</w:t>
      </w:r>
    </w:p>
    <w:p>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11</w:t>
      </w:r>
      <w:r>
        <w:rPr>
          <w:rFonts w:hint="eastAsia" w:ascii="宋体" w:hAnsi="宋体"/>
          <w:color w:val="auto"/>
          <w:sz w:val="24"/>
          <w:szCs w:val="24"/>
          <w:u w:val="single"/>
        </w:rPr>
        <w:t>日</w:t>
      </w:r>
      <w:r>
        <w:rPr>
          <w:rFonts w:hint="eastAsia" w:ascii="宋体" w:hAnsi="宋体"/>
          <w:color w:val="auto"/>
          <w:sz w:val="24"/>
          <w:szCs w:val="24"/>
        </w:rPr>
        <w:t xml:space="preserve">  </w:t>
      </w:r>
    </w:p>
    <w:p>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12</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14</w:t>
      </w:r>
      <w:r>
        <w:rPr>
          <w:rFonts w:hint="eastAsia" w:ascii="宋体" w:hAnsi="宋体"/>
          <w:color w:val="auto"/>
          <w:sz w:val="24"/>
          <w:szCs w:val="24"/>
          <w:u w:val="single"/>
        </w:rPr>
        <w:t>日17:30:00</w:t>
      </w:r>
    </w:p>
    <w:p>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17</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17</w:t>
      </w:r>
      <w:r>
        <w:rPr>
          <w:rFonts w:hint="eastAsia" w:ascii="宋体" w:hAnsi="宋体"/>
          <w:color w:val="auto"/>
          <w:sz w:val="24"/>
          <w:szCs w:val="24"/>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ascii="宋体" w:hAnsi="宋体"/>
          <w:sz w:val="24"/>
          <w:szCs w:val="24"/>
        </w:rPr>
        <w:t>http://</w:t>
      </w:r>
      <w:r>
        <w:fldChar w:fldCharType="begin"/>
      </w:r>
      <w:r>
        <w:instrText xml:space="preserve"> HYPERLINK "http://www.fjczx.com" </w:instrText>
      </w:r>
      <w:r>
        <w:fldChar w:fldCharType="separate"/>
      </w:r>
      <w:r>
        <w:rPr>
          <w:rFonts w:ascii="宋体" w:hAnsi="宋体"/>
        </w:rPr>
        <w:t>www.fjczx.com</w:t>
      </w:r>
      <w:r>
        <w:rPr>
          <w:rFonts w:ascii="宋体" w:hAnsi="宋体"/>
        </w:rPr>
        <w:fldChar w:fldCharType="end"/>
      </w:r>
    </w:p>
    <w:p>
      <w:pPr>
        <w:wordWrap w:val="0"/>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11、有关本项目采购的相关信息（包括网上竞价文件若有修改）福建晨至信招标代理有限公司都将在中国政府采购网(http://www.ccgp.gov.cn/)、福建晨至信招标代理有限公司(http://</w:t>
      </w:r>
      <w:r>
        <w:fldChar w:fldCharType="begin"/>
      </w:r>
      <w:r>
        <w:instrText xml:space="preserve"> HYPERLINK "http://www.fjczx.com" </w:instrText>
      </w:r>
      <w:r>
        <w:fldChar w:fldCharType="separate"/>
      </w:r>
      <w:r>
        <w:rPr>
          <w:rFonts w:ascii="宋体" w:hAnsi="宋体"/>
          <w:sz w:val="24"/>
          <w:szCs w:val="24"/>
        </w:rPr>
        <w:t>www.fjczx.com</w:t>
      </w:r>
      <w:r>
        <w:rPr>
          <w:rFonts w:ascii="宋体" w:hAnsi="宋体"/>
          <w:sz w:val="24"/>
          <w:szCs w:val="24"/>
        </w:rPr>
        <w:fldChar w:fldCharType="end"/>
      </w:r>
      <w:r>
        <w:rPr>
          <w:rFonts w:hint="eastAsia" w:ascii="宋体" w:hAnsi="宋体"/>
          <w:sz w:val="24"/>
          <w:szCs w:val="24"/>
        </w:rPr>
        <w:t>)、云采通（http://www.yuncaitong.cn/）上公布，请潜在竞价人随时关注相关网站，以免错漏重要信息。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rPr>
      </w:pPr>
      <w:r>
        <w:rPr>
          <w:rFonts w:hint="eastAsia" w:ascii="宋体" w:hAnsi="宋体"/>
          <w:sz w:val="24"/>
          <w:szCs w:val="24"/>
        </w:rPr>
        <w:t>地  址：福建省福州市仓山区上下店路15号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联系人：郭九信</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r>
        <w:rPr>
          <w:rFonts w:ascii="宋体" w:hAnsi="宋体"/>
          <w:sz w:val="24"/>
          <w:szCs w:val="24"/>
          <w:highlight w:val="none"/>
        </w:rPr>
        <w:t>18005913771</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采购代理机构名称：福建晨至信招标代理有限公司</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址：福建省福州市鼓楼区福马路45号闽古屋4号楼3层</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联系人：鄢曼君、缪雨芳、叶妙桃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rPr>
        <w:t>0591-83308367</w:t>
      </w:r>
    </w:p>
    <w:p>
      <w:pPr>
        <w:spacing w:line="440" w:lineRule="exact"/>
        <w:ind w:firstLine="480" w:firstLineChars="200"/>
        <w:rPr>
          <w:rFonts w:ascii="宋体" w:hAnsi="宋体"/>
          <w:sz w:val="24"/>
          <w:szCs w:val="24"/>
        </w:rPr>
      </w:pPr>
      <w:r>
        <w:rPr>
          <w:rFonts w:hint="eastAsia" w:ascii="宋体" w:hAnsi="宋体"/>
          <w:sz w:val="24"/>
          <w:szCs w:val="24"/>
        </w:rPr>
        <w:t>电子信箱：fjczxzb@126.com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竞价公告及竞价须知</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8"/>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19"/>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88"/>
        <w:gridCol w:w="2345"/>
        <w:gridCol w:w="971"/>
        <w:gridCol w:w="988"/>
        <w:gridCol w:w="988"/>
        <w:gridCol w:w="216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3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lang w:eastAsia="zh-CN"/>
              </w:rPr>
              <w:t>单价</w:t>
            </w:r>
            <w:r>
              <w:rPr>
                <w:rFonts w:hint="eastAsia" w:ascii="宋体" w:hAnsi="宋体"/>
                <w:b/>
                <w:bCs/>
                <w:kern w:val="0"/>
                <w:sz w:val="24"/>
                <w:szCs w:val="22"/>
              </w:rPr>
              <w:t>最高限价</w:t>
            </w:r>
          </w:p>
        </w:tc>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21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c>
          <w:tcPr>
            <w:tcW w:w="1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sz w:val="24"/>
                <w:szCs w:val="24"/>
              </w:rPr>
              <w:t>土壤数据管理服务器</w:t>
            </w:r>
          </w:p>
        </w:tc>
        <w:tc>
          <w:tcPr>
            <w:tcW w:w="9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1台</w:t>
            </w:r>
          </w:p>
        </w:tc>
        <w:tc>
          <w:tcPr>
            <w:tcW w:w="988" w:type="dxa"/>
            <w:tcBorders>
              <w:top w:val="single" w:color="auto" w:sz="4" w:space="0"/>
              <w:left w:val="single" w:color="auto" w:sz="4" w:space="0"/>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60000</w:t>
            </w:r>
          </w:p>
        </w:tc>
        <w:tc>
          <w:tcPr>
            <w:tcW w:w="988"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否</w:t>
            </w:r>
          </w:p>
        </w:tc>
        <w:tc>
          <w:tcPr>
            <w:tcW w:w="2167"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rPr>
              <w:t>410000</w:t>
            </w:r>
          </w:p>
        </w:tc>
        <w:tc>
          <w:tcPr>
            <w:tcW w:w="152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1-2</w:t>
            </w:r>
          </w:p>
        </w:tc>
        <w:tc>
          <w:tcPr>
            <w:tcW w:w="234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kern w:val="0"/>
                <w:sz w:val="24"/>
                <w:szCs w:val="24"/>
              </w:rPr>
            </w:pPr>
            <w:r>
              <w:rPr>
                <w:rFonts w:hint="eastAsia" w:ascii="宋体" w:hAnsi="宋体" w:cs="宋体"/>
                <w:sz w:val="24"/>
                <w:szCs w:val="24"/>
              </w:rPr>
              <w:t>土壤数据管理空间引擎</w:t>
            </w:r>
          </w:p>
        </w:tc>
        <w:tc>
          <w:tcPr>
            <w:tcW w:w="9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1套</w:t>
            </w:r>
          </w:p>
        </w:tc>
        <w:tc>
          <w:tcPr>
            <w:tcW w:w="988" w:type="dxa"/>
            <w:tcBorders>
              <w:top w:val="single" w:color="auto" w:sz="4" w:space="0"/>
              <w:left w:val="single" w:color="auto" w:sz="4" w:space="0"/>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190000</w:t>
            </w:r>
          </w:p>
        </w:tc>
        <w:tc>
          <w:tcPr>
            <w:tcW w:w="988"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rPr>
            </w:pPr>
            <w:r>
              <w:rPr>
                <w:rFonts w:hint="eastAsia" w:ascii="宋体" w:hAnsi="宋体" w:cs="新宋体"/>
                <w:kern w:val="0"/>
                <w:sz w:val="24"/>
                <w:szCs w:val="24"/>
              </w:rPr>
              <w:t>否</w:t>
            </w:r>
          </w:p>
        </w:tc>
        <w:tc>
          <w:tcPr>
            <w:tcW w:w="2167" w:type="dxa"/>
            <w:vMerge w:val="continue"/>
            <w:tcBorders>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p>
        </w:tc>
        <w:tc>
          <w:tcPr>
            <w:tcW w:w="1522" w:type="dxa"/>
            <w:vMerge w:val="continue"/>
            <w:tcBorders>
              <w:left w:val="single" w:color="auto" w:sz="4" w:space="0"/>
              <w:right w:val="single" w:color="auto" w:sz="4" w:space="0"/>
            </w:tcBorders>
            <w:vAlign w:val="center"/>
          </w:tcPr>
          <w:p>
            <w:pPr>
              <w:widowControl/>
              <w:jc w:val="center"/>
              <w:textAlignment w:val="center"/>
              <w:rPr>
                <w:rFonts w:ascii="宋体" w:hAnsi="宋体" w:cs="新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44"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1-3</w:t>
            </w:r>
          </w:p>
        </w:tc>
        <w:tc>
          <w:tcPr>
            <w:tcW w:w="2345"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hint="eastAsia" w:ascii="宋体" w:hAnsi="宋体" w:cs="宋体"/>
                <w:sz w:val="24"/>
                <w:szCs w:val="24"/>
              </w:rPr>
              <w:t>土壤数据可视化系统开发服务</w:t>
            </w:r>
          </w:p>
        </w:tc>
        <w:tc>
          <w:tcPr>
            <w:tcW w:w="9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kern w:val="0"/>
                <w:sz w:val="24"/>
              </w:rPr>
            </w:pPr>
            <w:r>
              <w:rPr>
                <w:rFonts w:hint="eastAsia" w:ascii="宋体" w:hAnsi="宋体"/>
                <w:kern w:val="0"/>
                <w:sz w:val="24"/>
              </w:rPr>
              <w:t>1项</w:t>
            </w:r>
          </w:p>
        </w:tc>
        <w:tc>
          <w:tcPr>
            <w:tcW w:w="988" w:type="dxa"/>
            <w:tcBorders>
              <w:top w:val="single" w:color="auto" w:sz="4" w:space="0"/>
              <w:left w:val="single" w:color="auto" w:sz="4" w:space="0"/>
              <w:right w:val="single" w:color="auto" w:sz="4" w:space="0"/>
            </w:tcBorders>
            <w:vAlign w:val="center"/>
          </w:tcPr>
          <w:p>
            <w:pPr>
              <w:jc w:val="center"/>
              <w:rPr>
                <w:rFonts w:hint="eastAsia" w:ascii="宋体" w:hAnsi="宋体" w:cs="宋体"/>
                <w:sz w:val="24"/>
                <w:szCs w:val="24"/>
              </w:rPr>
            </w:pPr>
            <w:r>
              <w:rPr>
                <w:rFonts w:hint="eastAsia" w:ascii="宋体" w:hAnsi="宋体" w:cs="宋体"/>
                <w:sz w:val="24"/>
                <w:szCs w:val="24"/>
              </w:rPr>
              <w:t>160000</w:t>
            </w:r>
          </w:p>
        </w:tc>
        <w:tc>
          <w:tcPr>
            <w:tcW w:w="988"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kern w:val="0"/>
                <w:sz w:val="24"/>
              </w:rPr>
            </w:pPr>
            <w:r>
              <w:rPr>
                <w:rFonts w:hint="eastAsia" w:ascii="宋体" w:hAnsi="宋体" w:cs="新宋体"/>
                <w:kern w:val="0"/>
                <w:sz w:val="24"/>
                <w:szCs w:val="24"/>
              </w:rPr>
              <w:t>否</w:t>
            </w:r>
          </w:p>
        </w:tc>
        <w:tc>
          <w:tcPr>
            <w:tcW w:w="21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p>
        </w:tc>
        <w:tc>
          <w:tcPr>
            <w:tcW w:w="1522" w:type="dxa"/>
            <w:vMerge w:val="continue"/>
            <w:tcBorders>
              <w:left w:val="single" w:color="auto" w:sz="4" w:space="0"/>
              <w:right w:val="single" w:color="auto" w:sz="4" w:space="0"/>
            </w:tcBorders>
            <w:vAlign w:val="center"/>
          </w:tcPr>
          <w:p>
            <w:pPr>
              <w:widowControl/>
              <w:jc w:val="center"/>
              <w:textAlignment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2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合计(大写)：人民币肆拾壹万元整</w:t>
            </w:r>
          </w:p>
        </w:tc>
        <w:tc>
          <w:tcPr>
            <w:tcW w:w="36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w:t>
            </w:r>
            <w:r>
              <w:rPr>
                <w:rFonts w:hint="eastAsia" w:ascii="宋体" w:hAnsi="宋体" w:cs="新宋体"/>
                <w:kern w:val="0"/>
                <w:sz w:val="24"/>
              </w:rPr>
              <w:t>410000</w:t>
            </w:r>
          </w:p>
        </w:tc>
      </w:tr>
    </w:tbl>
    <w:p>
      <w:pPr>
        <w:pStyle w:val="18"/>
        <w:ind w:left="0" w:leftChars="0" w:firstLine="0" w:firstLineChars="0"/>
        <w:rPr>
          <w:rFonts w:ascii="宋体" w:hAnsi="宋体"/>
          <w:sz w:val="24"/>
          <w:szCs w:val="32"/>
        </w:rPr>
      </w:pPr>
    </w:p>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b/>
          <w:bCs/>
          <w:sz w:val="24"/>
          <w:szCs w:val="24"/>
        </w:rPr>
      </w:pPr>
      <w:r>
        <w:rPr>
          <w:rFonts w:hint="eastAsia" w:ascii="宋体" w:hAnsi="宋体"/>
          <w:b/>
          <w:bCs/>
          <w:sz w:val="24"/>
          <w:szCs w:val="24"/>
        </w:rPr>
        <w:t>4、特定资格要求（若有）：/</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tbl>
      <w:tblPr>
        <w:tblStyle w:val="20"/>
        <w:tblW w:w="52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99"/>
        <w:gridCol w:w="3740"/>
        <w:gridCol w:w="1293"/>
        <w:gridCol w:w="93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74" w:type="pct"/>
          </w:tcPr>
          <w:p>
            <w:pPr>
              <w:jc w:val="center"/>
              <w:rPr>
                <w:rFonts w:ascii="宋体" w:hAnsi="宋体" w:cs="宋体"/>
                <w:b/>
                <w:bCs/>
                <w:sz w:val="24"/>
                <w:szCs w:val="24"/>
              </w:rPr>
            </w:pPr>
            <w:r>
              <w:rPr>
                <w:rFonts w:hint="eastAsia" w:ascii="宋体" w:hAnsi="宋体" w:cs="宋体"/>
                <w:b/>
                <w:bCs/>
                <w:sz w:val="24"/>
                <w:szCs w:val="24"/>
              </w:rPr>
              <w:t>序号</w:t>
            </w:r>
          </w:p>
        </w:tc>
        <w:tc>
          <w:tcPr>
            <w:tcW w:w="829" w:type="pct"/>
          </w:tcPr>
          <w:p>
            <w:pPr>
              <w:jc w:val="center"/>
              <w:rPr>
                <w:rFonts w:ascii="宋体" w:hAnsi="宋体" w:cs="宋体"/>
                <w:b/>
                <w:bCs/>
                <w:sz w:val="24"/>
                <w:szCs w:val="24"/>
              </w:rPr>
            </w:pPr>
            <w:r>
              <w:rPr>
                <w:rFonts w:hint="eastAsia" w:ascii="宋体" w:hAnsi="宋体"/>
                <w:b/>
                <w:bCs/>
                <w:kern w:val="0"/>
                <w:sz w:val="24"/>
              </w:rPr>
              <w:t>品目名称</w:t>
            </w:r>
          </w:p>
        </w:tc>
        <w:tc>
          <w:tcPr>
            <w:tcW w:w="1940" w:type="pct"/>
          </w:tcPr>
          <w:p>
            <w:pPr>
              <w:jc w:val="center"/>
              <w:rPr>
                <w:rFonts w:ascii="宋体" w:hAnsi="宋体" w:cs="宋体"/>
                <w:b/>
                <w:bCs/>
                <w:sz w:val="24"/>
                <w:szCs w:val="24"/>
              </w:rPr>
            </w:pPr>
            <w:r>
              <w:rPr>
                <w:rFonts w:hint="eastAsia" w:ascii="宋体" w:hAnsi="宋体" w:cs="宋体"/>
                <w:b/>
                <w:bCs/>
                <w:sz w:val="24"/>
                <w:szCs w:val="24"/>
              </w:rPr>
              <w:t>规格要求及技术参数</w:t>
            </w:r>
          </w:p>
        </w:tc>
        <w:tc>
          <w:tcPr>
            <w:tcW w:w="670" w:type="pct"/>
          </w:tcPr>
          <w:p>
            <w:pPr>
              <w:jc w:val="center"/>
              <w:rPr>
                <w:rFonts w:ascii="宋体" w:hAnsi="宋体" w:cs="宋体"/>
                <w:b/>
                <w:bCs/>
                <w:sz w:val="24"/>
                <w:szCs w:val="24"/>
              </w:rPr>
            </w:pPr>
            <w:r>
              <w:rPr>
                <w:rFonts w:hint="eastAsia" w:ascii="宋体" w:hAnsi="宋体" w:cs="宋体"/>
                <w:b/>
                <w:bCs/>
                <w:sz w:val="24"/>
                <w:szCs w:val="24"/>
              </w:rPr>
              <w:t>单位</w:t>
            </w:r>
          </w:p>
        </w:tc>
        <w:tc>
          <w:tcPr>
            <w:tcW w:w="483" w:type="pct"/>
          </w:tcPr>
          <w:p>
            <w:pPr>
              <w:jc w:val="center"/>
              <w:rPr>
                <w:rFonts w:ascii="宋体" w:hAnsi="宋体" w:cs="宋体"/>
                <w:b/>
                <w:bCs/>
                <w:sz w:val="24"/>
                <w:szCs w:val="24"/>
              </w:rPr>
            </w:pPr>
            <w:r>
              <w:rPr>
                <w:rFonts w:hint="eastAsia" w:ascii="宋体" w:hAnsi="宋体" w:cs="宋体"/>
                <w:b/>
                <w:bCs/>
                <w:sz w:val="24"/>
                <w:szCs w:val="24"/>
              </w:rPr>
              <w:t>数量</w:t>
            </w:r>
          </w:p>
        </w:tc>
        <w:tc>
          <w:tcPr>
            <w:tcW w:w="700" w:type="pct"/>
          </w:tcPr>
          <w:p>
            <w:pPr>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tcPr>
          <w:p>
            <w:pPr>
              <w:jc w:val="center"/>
              <w:rPr>
                <w:rFonts w:ascii="宋体" w:hAnsi="宋体" w:cs="宋体"/>
                <w:sz w:val="24"/>
                <w:szCs w:val="24"/>
              </w:rPr>
            </w:pPr>
            <w:r>
              <w:rPr>
                <w:rFonts w:hint="eastAsia" w:ascii="宋体" w:hAnsi="宋体" w:cs="宋体"/>
                <w:sz w:val="24"/>
                <w:szCs w:val="24"/>
              </w:rPr>
              <w:t>1</w:t>
            </w:r>
          </w:p>
        </w:tc>
        <w:tc>
          <w:tcPr>
            <w:tcW w:w="829" w:type="pct"/>
          </w:tcPr>
          <w:p>
            <w:pPr>
              <w:rPr>
                <w:rFonts w:ascii="宋体" w:hAnsi="宋体" w:cs="宋体"/>
                <w:sz w:val="24"/>
                <w:szCs w:val="24"/>
              </w:rPr>
            </w:pPr>
            <w:r>
              <w:rPr>
                <w:rFonts w:hint="eastAsia" w:ascii="宋体" w:hAnsi="宋体" w:cs="宋体"/>
                <w:sz w:val="24"/>
                <w:szCs w:val="24"/>
              </w:rPr>
              <w:t>土壤数据管理服务器</w:t>
            </w:r>
          </w:p>
        </w:tc>
        <w:tc>
          <w:tcPr>
            <w:tcW w:w="1940" w:type="pct"/>
          </w:tcPr>
          <w:p>
            <w:pPr>
              <w:rPr>
                <w:sz w:val="24"/>
                <w:szCs w:val="24"/>
                <w:highlight w:val="none"/>
              </w:rPr>
            </w:pPr>
            <w:r>
              <w:rPr>
                <w:rFonts w:hint="eastAsia"/>
                <w:sz w:val="24"/>
                <w:szCs w:val="24"/>
                <w:highlight w:val="none"/>
              </w:rPr>
              <w:t>1、</w:t>
            </w:r>
            <w:r>
              <w:rPr>
                <w:rFonts w:hint="eastAsia" w:ascii="宋体" w:hAnsi="宋体" w:cs="宋体"/>
                <w:sz w:val="24"/>
                <w:szCs w:val="24"/>
                <w:highlight w:val="none"/>
              </w:rPr>
              <w:t>处理器：不低于金牌6226R*2，≥34核心，≥64线程；</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2、内存：≥256GB；</w:t>
            </w:r>
            <w:bookmarkStart w:id="1" w:name="_GoBack"/>
            <w:bookmarkEnd w:id="1"/>
          </w:p>
          <w:p>
            <w:pPr>
              <w:rPr>
                <w:sz w:val="24"/>
                <w:szCs w:val="24"/>
                <w:highlight w:val="none"/>
              </w:rPr>
            </w:pPr>
            <w:r>
              <w:rPr>
                <w:rFonts w:hint="eastAsia"/>
                <w:sz w:val="24"/>
                <w:szCs w:val="24"/>
                <w:highlight w:val="none"/>
              </w:rPr>
              <w:t>3、硬盘：内置</w:t>
            </w:r>
            <w:r>
              <w:rPr>
                <w:rFonts w:hint="eastAsia"/>
                <w:highlight w:val="none"/>
              </w:rPr>
              <w:t>≥</w:t>
            </w:r>
            <w:r>
              <w:rPr>
                <w:rFonts w:hint="eastAsia"/>
                <w:sz w:val="24"/>
                <w:szCs w:val="24"/>
                <w:highlight w:val="none"/>
              </w:rPr>
              <w:t>8TB，支持3.5英寸SATA硬盘/SAS/SSD固态硬盘/M2SSD固态硬盘；</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4、显卡：</w:t>
            </w:r>
            <w:r>
              <w:rPr>
                <w:rFonts w:hint="eastAsia"/>
                <w:highlight w:val="none"/>
              </w:rPr>
              <w:t>≥</w:t>
            </w:r>
            <w:r>
              <w:rPr>
                <w:rFonts w:hint="eastAsia" w:ascii="宋体" w:hAnsi="宋体" w:cs="宋体"/>
                <w:sz w:val="24"/>
                <w:szCs w:val="24"/>
                <w:highlight w:val="none"/>
              </w:rPr>
              <w:t>24G显存</w:t>
            </w:r>
          </w:p>
          <w:p>
            <w:pPr>
              <w:pStyle w:val="50"/>
              <w:ind w:left="440" w:hanging="440" w:firstLineChars="0"/>
              <w:rPr>
                <w:rFonts w:ascii="宋体" w:hAnsi="宋体" w:cs="宋体"/>
                <w:sz w:val="24"/>
                <w:szCs w:val="24"/>
                <w:highlight w:val="none"/>
              </w:rPr>
            </w:pPr>
            <w:r>
              <w:rPr>
                <w:rFonts w:hint="eastAsia" w:ascii="宋体" w:hAnsi="宋体" w:cs="宋体"/>
                <w:sz w:val="24"/>
                <w:szCs w:val="24"/>
                <w:highlight w:val="none"/>
              </w:rPr>
              <w:t>5、电源：支持功率:1400W</w:t>
            </w:r>
          </w:p>
          <w:p>
            <w:pPr>
              <w:pStyle w:val="50"/>
              <w:ind w:left="440" w:hanging="440" w:firstLineChars="0"/>
              <w:jc w:val="left"/>
              <w:rPr>
                <w:rFonts w:ascii="宋体" w:hAnsi="宋体" w:cs="宋体"/>
                <w:sz w:val="24"/>
                <w:szCs w:val="24"/>
                <w:highlight w:val="none"/>
              </w:rPr>
            </w:pPr>
            <w:r>
              <w:rPr>
                <w:rFonts w:hint="eastAsia" w:ascii="宋体" w:hAnsi="宋体" w:cs="宋体"/>
                <w:sz w:val="24"/>
                <w:szCs w:val="24"/>
                <w:highlight w:val="none"/>
              </w:rPr>
              <w:t>6、接口：至少提供8个USB接口</w:t>
            </w:r>
          </w:p>
        </w:tc>
        <w:tc>
          <w:tcPr>
            <w:tcW w:w="670" w:type="pct"/>
            <w:vAlign w:val="center"/>
          </w:tcPr>
          <w:p>
            <w:pPr>
              <w:ind w:firstLine="240" w:firstLineChars="100"/>
              <w:rPr>
                <w:rFonts w:ascii="宋体" w:hAnsi="宋体" w:cs="宋体"/>
                <w:sz w:val="24"/>
                <w:szCs w:val="24"/>
              </w:rPr>
            </w:pPr>
            <w:r>
              <w:rPr>
                <w:rFonts w:hint="eastAsia" w:ascii="宋体" w:hAnsi="宋体" w:cs="宋体"/>
                <w:sz w:val="24"/>
                <w:szCs w:val="24"/>
              </w:rPr>
              <w:t>台</w:t>
            </w:r>
          </w:p>
        </w:tc>
        <w:tc>
          <w:tcPr>
            <w:tcW w:w="483" w:type="pct"/>
            <w:vAlign w:val="center"/>
          </w:tcPr>
          <w:p>
            <w:pPr>
              <w:jc w:val="center"/>
              <w:rPr>
                <w:rFonts w:ascii="宋体" w:hAnsi="宋体" w:cs="宋体"/>
                <w:sz w:val="24"/>
                <w:szCs w:val="24"/>
              </w:rPr>
            </w:pPr>
            <w:r>
              <w:rPr>
                <w:rFonts w:hint="eastAsia" w:ascii="宋体" w:hAnsi="宋体" w:cs="宋体"/>
                <w:sz w:val="24"/>
                <w:szCs w:val="24"/>
              </w:rPr>
              <w:t>1</w:t>
            </w:r>
          </w:p>
        </w:tc>
        <w:tc>
          <w:tcPr>
            <w:tcW w:w="1351" w:type="dxa"/>
            <w:vAlign w:val="center"/>
          </w:tcPr>
          <w:p>
            <w:pPr>
              <w:spacing w:line="240" w:lineRule="auto"/>
              <w:jc w:val="center"/>
              <w:rPr>
                <w:rFonts w:hint="eastAsia" w:ascii="宋体" w:hAnsi="宋体" w:cs="宋体"/>
                <w:sz w:val="24"/>
                <w:szCs w:val="24"/>
              </w:rPr>
            </w:pPr>
            <w:r>
              <w:rPr>
                <w:rFonts w:hint="eastAsia" w:ascii="宋体" w:hAnsi="宋体" w:eastAsia="宋体"/>
                <w:sz w:val="24"/>
                <w:szCs w:val="24"/>
              </w:rPr>
              <w:t>6</w:t>
            </w:r>
            <w:r>
              <w:rPr>
                <w:rFonts w:ascii="宋体" w:hAnsi="宋体" w:eastAsia="宋体"/>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tcPr>
          <w:p>
            <w:pPr>
              <w:jc w:val="center"/>
              <w:rPr>
                <w:rFonts w:ascii="宋体" w:hAnsi="宋体" w:cs="宋体"/>
                <w:sz w:val="24"/>
                <w:szCs w:val="24"/>
              </w:rPr>
            </w:pPr>
            <w:r>
              <w:rPr>
                <w:rFonts w:hint="eastAsia" w:ascii="宋体" w:hAnsi="宋体" w:cs="宋体"/>
                <w:sz w:val="24"/>
                <w:szCs w:val="24"/>
              </w:rPr>
              <w:t>2</w:t>
            </w:r>
          </w:p>
        </w:tc>
        <w:tc>
          <w:tcPr>
            <w:tcW w:w="829" w:type="pct"/>
          </w:tcPr>
          <w:p>
            <w:pPr>
              <w:rPr>
                <w:rFonts w:ascii="宋体" w:hAnsi="宋体" w:cs="宋体"/>
                <w:sz w:val="24"/>
                <w:szCs w:val="24"/>
              </w:rPr>
            </w:pPr>
            <w:r>
              <w:rPr>
                <w:rFonts w:hint="eastAsia" w:ascii="宋体" w:hAnsi="宋体" w:cs="宋体"/>
                <w:sz w:val="24"/>
                <w:szCs w:val="24"/>
              </w:rPr>
              <w:t>土壤数据管理空间引擎</w:t>
            </w:r>
          </w:p>
        </w:tc>
        <w:tc>
          <w:tcPr>
            <w:tcW w:w="1940" w:type="pct"/>
          </w:tcPr>
          <w:p>
            <w:pPr>
              <w:pStyle w:val="50"/>
              <w:ind w:left="440" w:hanging="440" w:firstLineChars="0"/>
              <w:rPr>
                <w:rFonts w:ascii="宋体" w:hAnsi="宋体" w:cs="宋体"/>
                <w:sz w:val="24"/>
                <w:szCs w:val="24"/>
              </w:rPr>
            </w:pPr>
            <w:r>
              <w:rPr>
                <w:rFonts w:hint="eastAsia" w:ascii="宋体" w:hAnsi="宋体" w:cs="宋体"/>
                <w:sz w:val="24"/>
                <w:szCs w:val="24"/>
              </w:rPr>
              <w:t>1、含50个授权账户</w:t>
            </w:r>
          </w:p>
          <w:p>
            <w:pPr>
              <w:pStyle w:val="50"/>
              <w:tabs>
                <w:tab w:val="left" w:pos="0"/>
              </w:tabs>
              <w:wordWrap w:val="0"/>
              <w:ind w:firstLine="0" w:firstLineChars="0"/>
              <w:jc w:val="left"/>
              <w:rPr>
                <w:rFonts w:ascii="宋体" w:hAnsi="宋体" w:cs="宋体"/>
                <w:sz w:val="24"/>
                <w:szCs w:val="24"/>
              </w:rPr>
            </w:pPr>
            <w:r>
              <w:rPr>
                <w:rFonts w:hint="eastAsia" w:ascii="宋体" w:hAnsi="宋体" w:cs="宋体"/>
                <w:sz w:val="24"/>
                <w:szCs w:val="24"/>
              </w:rPr>
              <w:t>2</w:t>
            </w:r>
            <w:r>
              <w:rPr>
                <w:rFonts w:hint="eastAsia"/>
                <w:sz w:val="24"/>
                <w:szCs w:val="24"/>
              </w:rPr>
              <w:t>、要求可直接访问数据库进行地理数据的可视化、分析，支持的数据库类型包括人大金仓、瀚高、达梦、DB2、Oracle、PostgreSQL、SQL Server、Teradata、SAP HANA。支持以下数据库原生空间字段类型：SQL Server Geometry和Geography、Oracle Spatial、PostGIS。</w:t>
            </w:r>
          </w:p>
          <w:p>
            <w:pPr>
              <w:pStyle w:val="50"/>
              <w:ind w:firstLine="0" w:firstLineChars="0"/>
              <w:rPr>
                <w:rFonts w:ascii="宋体" w:hAnsi="宋体" w:cs="宋体"/>
                <w:sz w:val="24"/>
                <w:szCs w:val="24"/>
              </w:rPr>
            </w:pPr>
            <w:r>
              <w:rPr>
                <w:rFonts w:hint="eastAsia" w:ascii="宋体" w:hAnsi="宋体" w:cs="宋体"/>
                <w:sz w:val="24"/>
                <w:szCs w:val="24"/>
              </w:rPr>
              <w:t>3、要求提供原生的基于64位的地处理服务，能发布自定义的Arcpy地理处理分析模型。支持把桌面软件的可视化建模器ModelBuilder生成的地理处理模型发布为GP服务，能在客户端进行同步或者异步方式调用这些GP服务。</w:t>
            </w:r>
          </w:p>
          <w:p>
            <w:pPr>
              <w:pStyle w:val="50"/>
              <w:wordWrap w:val="0"/>
              <w:ind w:firstLine="0" w:firstLineChars="0"/>
              <w:rPr>
                <w:rFonts w:ascii="宋体" w:hAnsi="宋体" w:cs="宋体"/>
                <w:sz w:val="24"/>
                <w:szCs w:val="24"/>
                <w:highlight w:val="none"/>
              </w:rPr>
            </w:pPr>
            <w:r>
              <w:rPr>
                <w:rFonts w:hint="eastAsia" w:ascii="宋体" w:hAnsi="宋体" w:cs="宋体"/>
                <w:sz w:val="24"/>
                <w:szCs w:val="24"/>
                <w:highlight w:val="none"/>
              </w:rPr>
              <w:t>4、支持多种类型GIS服务的发布：如二维地图、三维场景、矢量切片服务、要素服务、影像服务、OGC标准服务（如WMS、KML、 WFS、WCS、WPS、i3S），包括支持以下OGC各种标准：WMS-1.0.0、1.1.0、1.1.1和1.3.0，WFS-1.0、1.1、2.0，WCS-1.0.0、1.1.0、1.1.1、1.1.2和2.0.1，WMTS-1.0，WPS 1.0.0、KML2.2、GeoJSON、OGC API-Features等。</w:t>
            </w:r>
            <w:r>
              <w:rPr>
                <w:rFonts w:hint="eastAsia" w:ascii="宋体" w:hAnsi="宋体" w:cs="宋体"/>
                <w:b/>
                <w:bCs/>
                <w:sz w:val="24"/>
                <w:szCs w:val="24"/>
                <w:highlight w:val="none"/>
              </w:rPr>
              <w:t>（成交后供应商须提供发布OGC i3S三维场景服务的软件界面截图备查，若不符合要求，则视为虚假响应，取消成交资格并依法追究法律责任。）</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5、要求提供土壤三维场景服务发布与访问。</w:t>
            </w:r>
          </w:p>
          <w:p>
            <w:pPr>
              <w:pStyle w:val="50"/>
              <w:ind w:firstLine="0" w:firstLineChars="0"/>
              <w:rPr>
                <w:rFonts w:ascii="宋体" w:hAnsi="宋体" w:cs="宋体"/>
                <w:sz w:val="24"/>
                <w:szCs w:val="24"/>
              </w:rPr>
            </w:pPr>
            <w:r>
              <w:rPr>
                <w:rFonts w:hint="eastAsia" w:ascii="宋体" w:hAnsi="宋体" w:cs="宋体"/>
                <w:sz w:val="24"/>
                <w:szCs w:val="24"/>
              </w:rPr>
              <w:t>6、要求提供三维场景服务发布于访问。</w:t>
            </w:r>
          </w:p>
          <w:p>
            <w:pPr>
              <w:pStyle w:val="50"/>
              <w:ind w:firstLine="0" w:firstLineChars="0"/>
              <w:rPr>
                <w:rFonts w:ascii="宋体" w:hAnsi="宋体" w:cs="宋体"/>
                <w:sz w:val="24"/>
                <w:szCs w:val="24"/>
              </w:rPr>
            </w:pPr>
            <w:r>
              <w:rPr>
                <w:rFonts w:hint="eastAsia" w:ascii="宋体" w:hAnsi="宋体" w:cs="宋体"/>
                <w:sz w:val="24"/>
                <w:szCs w:val="24"/>
              </w:rPr>
              <w:t>7、要求支持通过门户上传CSV文件、Microsoft Excel文件、GeoJSON文件、压缩shapefile、压缩的File GeoDataBase等数据并发布为托管的web服务，并支持直接由托管要素服务创建切片。</w:t>
            </w:r>
          </w:p>
          <w:p>
            <w:pPr>
              <w:pStyle w:val="50"/>
              <w:ind w:firstLine="0" w:firstLineChars="0"/>
              <w:rPr>
                <w:rFonts w:ascii="宋体" w:hAnsi="宋体" w:cs="宋体"/>
                <w:sz w:val="24"/>
                <w:szCs w:val="24"/>
              </w:rPr>
            </w:pPr>
            <w:r>
              <w:rPr>
                <w:rFonts w:hint="eastAsia" w:ascii="宋体" w:hAnsi="宋体" w:cs="宋体"/>
                <w:sz w:val="24"/>
                <w:szCs w:val="24"/>
              </w:rPr>
              <w:t>8、要求支持二维在线制图环境，可满足制图分析需求；在制图时能直接添加各类GIS资源，可以进行底图切换、符号配置、属性查询显示等一些常用的地图功能，可以使用搜索在地图中查找位置或要素并将搜索结果添加到草图图层，提供多底图、弹窗配置（标题、字段、附件、属性表达式、图表、图片、文本、Arcade自定义）、时间滑块、草图（编辑点线面、捕捉、放置符号弹窗）、地图工具（搜索、测量、位置查找）、属性配置、数据源配置、外观配置、图例、书签、表格、共享、应用程序创建、打印功能。</w:t>
            </w:r>
          </w:p>
          <w:p>
            <w:pPr>
              <w:pStyle w:val="50"/>
              <w:ind w:firstLine="0" w:firstLineChars="0"/>
              <w:rPr>
                <w:rFonts w:hint="eastAsia" w:ascii="宋体" w:hAnsi="宋体" w:cs="宋体"/>
                <w:b/>
                <w:bCs/>
                <w:sz w:val="24"/>
                <w:szCs w:val="24"/>
                <w:highlight w:val="none"/>
              </w:rPr>
            </w:pPr>
            <w:r>
              <w:rPr>
                <w:rFonts w:hint="eastAsia" w:ascii="宋体" w:hAnsi="宋体" w:cs="宋体"/>
                <w:sz w:val="24"/>
                <w:szCs w:val="24"/>
                <w:highlight w:val="none"/>
              </w:rPr>
              <w:t>9、要求提供图层混合模式高级在线制图技术，其中要求包括以下模式：变亮混合、变暗混合、对比度混合、组件混合、复合混合、反向混合模式。</w:t>
            </w:r>
            <w:r>
              <w:rPr>
                <w:rFonts w:hint="eastAsia" w:ascii="宋体" w:hAnsi="宋体" w:cs="宋体"/>
                <w:b/>
                <w:bCs/>
                <w:sz w:val="24"/>
                <w:szCs w:val="24"/>
                <w:highlight w:val="none"/>
              </w:rPr>
              <w:t>（成交后供应商须提供变亮混合、变暗混合、对比度混合、组件混合、复合混合、反向混合模式的图层混合制图软件界面截图备查，若不符合要求，则视为虚假响应，取消成交资格并依法追究法律责任。）</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10、要求支持基于web的故事创作应用程序，可用于在叙述文本和其他多媒体内容的上下文中共享地图，可执行包括地图、叙述文字、列表、图像、视频、嵌入式项目和其他媒体的故事创建功能、以URL等形式于组织内外发布共享地图故事和集合、管理、编辑、收藏故事，此外，提供一键式主题配置、提供在线故事搜索能力。</w:t>
            </w:r>
          </w:p>
          <w:p>
            <w:pPr>
              <w:pStyle w:val="50"/>
              <w:ind w:firstLine="0" w:firstLineChars="0"/>
              <w:rPr>
                <w:rFonts w:ascii="宋体" w:hAnsi="宋体" w:cs="宋体"/>
                <w:sz w:val="24"/>
                <w:szCs w:val="24"/>
                <w:highlight w:val="none"/>
              </w:rPr>
            </w:pPr>
            <w:r>
              <w:rPr>
                <w:rFonts w:hint="eastAsia" w:ascii="宋体" w:hAnsi="宋体" w:cs="宋体"/>
                <w:sz w:val="24"/>
                <w:szCs w:val="24"/>
                <w:highlight w:val="none"/>
              </w:rPr>
              <w:t>11、要求后台管理接口能支持只读模式，在该模式下保证原有的服务能正常使用，但大部分管理权限被禁用，并且支持只读站点的备份恢复，提升站点的安全性。</w:t>
            </w:r>
            <w:r>
              <w:rPr>
                <w:rFonts w:hint="eastAsia" w:ascii="宋体" w:hAnsi="宋体" w:cs="宋体"/>
                <w:b/>
                <w:bCs/>
                <w:sz w:val="24"/>
                <w:szCs w:val="24"/>
                <w:highlight w:val="none"/>
              </w:rPr>
              <w:t>（成交后供应商须提供只读模式后台设置的软件界面截图备查，若不符合要求，则视为虚假响应，取消成交资格并依法追究法律责任。）</w:t>
            </w:r>
          </w:p>
          <w:p>
            <w:pPr>
              <w:pStyle w:val="50"/>
              <w:ind w:firstLine="0" w:firstLineChars="0"/>
              <w:rPr>
                <w:rFonts w:ascii="宋体" w:hAnsi="宋体" w:cs="宋体"/>
                <w:sz w:val="24"/>
                <w:szCs w:val="24"/>
              </w:rPr>
            </w:pPr>
            <w:r>
              <w:rPr>
                <w:rFonts w:hint="eastAsia" w:ascii="宋体" w:hAnsi="宋体" w:cs="宋体"/>
                <w:sz w:val="24"/>
                <w:szCs w:val="24"/>
              </w:rPr>
              <w:t>12、要求支持数据大屏应用，包含丰富的功能（页眉、地图、自由配置的图例、系列图表、饼图、指示器、仪表、列表、表、详细信息、富文本、嵌入内容）、主题配置（布局和地图）、共享功能。</w:t>
            </w:r>
          </w:p>
        </w:tc>
        <w:tc>
          <w:tcPr>
            <w:tcW w:w="670" w:type="pct"/>
            <w:vAlign w:val="center"/>
          </w:tcPr>
          <w:p>
            <w:pPr>
              <w:pStyle w:val="50"/>
              <w:ind w:firstLine="240" w:firstLineChars="100"/>
              <w:rPr>
                <w:rFonts w:ascii="宋体" w:hAnsi="宋体" w:cs="宋体"/>
                <w:sz w:val="24"/>
                <w:szCs w:val="24"/>
              </w:rPr>
            </w:pPr>
            <w:r>
              <w:rPr>
                <w:rFonts w:hint="eastAsia" w:ascii="宋体" w:hAnsi="宋体" w:cs="宋体"/>
                <w:sz w:val="24"/>
                <w:szCs w:val="24"/>
              </w:rPr>
              <w:t>套</w:t>
            </w:r>
          </w:p>
        </w:tc>
        <w:tc>
          <w:tcPr>
            <w:tcW w:w="483" w:type="pct"/>
            <w:vAlign w:val="center"/>
          </w:tcPr>
          <w:p>
            <w:pPr>
              <w:pStyle w:val="50"/>
              <w:ind w:left="440" w:firstLine="0" w:firstLineChars="0"/>
              <w:jc w:val="center"/>
              <w:rPr>
                <w:rFonts w:ascii="宋体" w:hAnsi="宋体" w:cs="宋体"/>
                <w:sz w:val="24"/>
                <w:szCs w:val="24"/>
              </w:rPr>
            </w:pPr>
            <w:r>
              <w:rPr>
                <w:rFonts w:hint="eastAsia" w:ascii="宋体" w:hAnsi="宋体" w:cs="宋体"/>
                <w:sz w:val="24"/>
                <w:szCs w:val="24"/>
              </w:rPr>
              <w:t>1</w:t>
            </w:r>
          </w:p>
        </w:tc>
        <w:tc>
          <w:tcPr>
            <w:tcW w:w="1351" w:type="dxa"/>
            <w:vAlign w:val="center"/>
          </w:tcPr>
          <w:p>
            <w:pPr>
              <w:spacing w:line="240" w:lineRule="auto"/>
              <w:jc w:val="center"/>
              <w:rPr>
                <w:rFonts w:hint="eastAsia" w:ascii="宋体" w:hAnsi="宋体" w:cs="宋体"/>
                <w:sz w:val="24"/>
                <w:szCs w:val="24"/>
              </w:rPr>
            </w:pPr>
            <w:r>
              <w:rPr>
                <w:rFonts w:ascii="宋体" w:hAnsi="宋体" w:eastAsia="宋体"/>
                <w:sz w:val="24"/>
                <w:szCs w:val="24"/>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tcPr>
          <w:p>
            <w:pPr>
              <w:jc w:val="center"/>
              <w:rPr>
                <w:rFonts w:ascii="宋体" w:hAnsi="宋体" w:cs="宋体"/>
                <w:sz w:val="24"/>
                <w:szCs w:val="24"/>
              </w:rPr>
            </w:pPr>
            <w:r>
              <w:rPr>
                <w:rFonts w:hint="eastAsia" w:ascii="宋体" w:hAnsi="宋体" w:cs="宋体"/>
                <w:sz w:val="24"/>
                <w:szCs w:val="24"/>
              </w:rPr>
              <w:t>3</w:t>
            </w:r>
          </w:p>
        </w:tc>
        <w:tc>
          <w:tcPr>
            <w:tcW w:w="829" w:type="pct"/>
          </w:tcPr>
          <w:p>
            <w:pPr>
              <w:rPr>
                <w:rFonts w:ascii="宋体" w:hAnsi="宋体" w:cs="宋体"/>
                <w:sz w:val="24"/>
                <w:szCs w:val="24"/>
              </w:rPr>
            </w:pPr>
            <w:r>
              <w:rPr>
                <w:rFonts w:hint="eastAsia" w:ascii="宋体" w:hAnsi="宋体" w:cs="宋体"/>
                <w:sz w:val="24"/>
                <w:szCs w:val="24"/>
              </w:rPr>
              <w:t>土壤数据可视化系统开发服务</w:t>
            </w:r>
          </w:p>
        </w:tc>
        <w:tc>
          <w:tcPr>
            <w:tcW w:w="1940" w:type="pct"/>
          </w:tcPr>
          <w:p>
            <w:pPr>
              <w:rPr>
                <w:rFonts w:ascii="宋体" w:hAnsi="宋体" w:cs="宋体"/>
                <w:sz w:val="24"/>
                <w:szCs w:val="24"/>
              </w:rPr>
            </w:pPr>
            <w:r>
              <w:rPr>
                <w:rFonts w:hint="eastAsia" w:ascii="宋体" w:hAnsi="宋体" w:cs="宋体"/>
                <w:sz w:val="24"/>
                <w:szCs w:val="24"/>
              </w:rPr>
              <w:t>可视化系统具备基本功能，包括登录，地图放大缩小，底图切换，测量等，除此之外，对不同数据有不同的展示需求，具体如下：</w:t>
            </w:r>
          </w:p>
          <w:p>
            <w:pPr>
              <w:pStyle w:val="50"/>
              <w:ind w:firstLine="0" w:firstLineChars="0"/>
              <w:jc w:val="left"/>
              <w:rPr>
                <w:rFonts w:ascii="宋体" w:hAnsi="宋体" w:cs="宋体"/>
                <w:sz w:val="24"/>
                <w:szCs w:val="24"/>
              </w:rPr>
            </w:pPr>
            <w:r>
              <w:rPr>
                <w:rFonts w:hint="eastAsia" w:ascii="宋体" w:hAnsi="宋体" w:cs="宋体"/>
                <w:sz w:val="24"/>
                <w:szCs w:val="24"/>
              </w:rPr>
              <w:t>1、地形数据：发布地形数据，实现地形起伏三维展示，其他要素图层贴合地形叠加展示；</w:t>
            </w:r>
          </w:p>
          <w:p>
            <w:pPr>
              <w:pStyle w:val="50"/>
              <w:ind w:firstLine="0" w:firstLineChars="0"/>
              <w:jc w:val="left"/>
              <w:rPr>
                <w:rFonts w:ascii="宋体" w:hAnsi="宋体" w:cs="宋体"/>
                <w:sz w:val="24"/>
                <w:szCs w:val="24"/>
                <w:highlight w:val="none"/>
              </w:rPr>
            </w:pPr>
            <w:r>
              <w:rPr>
                <w:rFonts w:hint="eastAsia" w:ascii="宋体" w:hAnsi="宋体" w:cs="宋体"/>
                <w:sz w:val="24"/>
                <w:szCs w:val="24"/>
                <w:highlight w:val="none"/>
              </w:rPr>
              <w:t>2、地质数据：利用地质类型进行渲染，展示</w:t>
            </w:r>
            <w:r>
              <w:rPr>
                <w:rFonts w:hint="eastAsia"/>
                <w:sz w:val="24"/>
                <w:szCs w:val="24"/>
                <w:highlight w:val="none"/>
              </w:rPr>
              <w:t>福建省</w:t>
            </w:r>
            <w:r>
              <w:rPr>
                <w:rFonts w:hint="eastAsia" w:ascii="宋体" w:hAnsi="宋体" w:cs="宋体"/>
                <w:sz w:val="24"/>
                <w:szCs w:val="24"/>
                <w:highlight w:val="none"/>
              </w:rPr>
              <w:t>地质二维分布图；</w:t>
            </w:r>
          </w:p>
          <w:p>
            <w:pPr>
              <w:pStyle w:val="50"/>
              <w:ind w:firstLine="0" w:firstLineChars="0"/>
              <w:jc w:val="left"/>
              <w:rPr>
                <w:rFonts w:ascii="宋体" w:hAnsi="宋体" w:cs="宋体"/>
                <w:sz w:val="24"/>
                <w:szCs w:val="24"/>
                <w:highlight w:val="none"/>
              </w:rPr>
            </w:pPr>
            <w:r>
              <w:rPr>
                <w:rFonts w:hint="eastAsia" w:ascii="宋体" w:hAnsi="宋体" w:cs="宋体"/>
                <w:sz w:val="24"/>
                <w:szCs w:val="24"/>
                <w:highlight w:val="none"/>
              </w:rPr>
              <w:t>3、植被覆盖数据：将NDVI数据进行渐变渲染；</w:t>
            </w:r>
          </w:p>
          <w:p>
            <w:pPr>
              <w:pStyle w:val="50"/>
              <w:ind w:firstLine="0" w:firstLineChars="0"/>
              <w:jc w:val="left"/>
              <w:rPr>
                <w:rFonts w:ascii="宋体" w:hAnsi="宋体" w:cs="宋体"/>
                <w:sz w:val="24"/>
                <w:szCs w:val="24"/>
              </w:rPr>
            </w:pPr>
            <w:r>
              <w:rPr>
                <w:rFonts w:hint="eastAsia" w:ascii="宋体" w:hAnsi="宋体" w:cs="宋体"/>
                <w:sz w:val="24"/>
                <w:szCs w:val="24"/>
                <w:highlight w:val="none"/>
              </w:rPr>
              <w:t>4、土壤数据库：展示福建省土壤分布图，需要图表展示：有机质、ph、有效磷、速效钾、土类、亚类、土属、土种。功能：可选择按市与按土地利用类型统计土类/亚类/土属/土种的面积；可选择按市与按土地利用类型统计主要土类/亚类/土属/土种的平均有机质、平均ph、平均有效磷和速</w:t>
            </w:r>
            <w:r>
              <w:rPr>
                <w:rFonts w:hint="eastAsia" w:ascii="宋体" w:hAnsi="宋体" w:cs="宋体"/>
                <w:sz w:val="24"/>
                <w:szCs w:val="24"/>
              </w:rPr>
              <w:t>效钾等信息。</w:t>
            </w:r>
          </w:p>
          <w:p>
            <w:pPr>
              <w:pStyle w:val="50"/>
              <w:ind w:firstLine="0" w:firstLineChars="0"/>
              <w:jc w:val="left"/>
              <w:rPr>
                <w:rFonts w:ascii="宋体" w:hAnsi="宋体" w:cs="宋体"/>
                <w:sz w:val="24"/>
                <w:szCs w:val="24"/>
              </w:rPr>
            </w:pPr>
            <w:r>
              <w:rPr>
                <w:rFonts w:hint="eastAsia" w:ascii="宋体" w:hAnsi="宋体" w:cs="宋体"/>
                <w:sz w:val="24"/>
                <w:szCs w:val="24"/>
              </w:rPr>
              <w:t>5、土壤剖面点数据：展示剖面点空间位置及分层信息；首先二维显示，点击后三维立体显示，并分层展示相关属性信息，各剖面样点的野外剖面照片和采样照片。</w:t>
            </w:r>
          </w:p>
          <w:p>
            <w:pPr>
              <w:pStyle w:val="50"/>
              <w:ind w:firstLine="0" w:firstLineChars="0"/>
              <w:jc w:val="left"/>
              <w:rPr>
                <w:rFonts w:ascii="宋体" w:hAnsi="宋体" w:cs="宋体"/>
                <w:sz w:val="24"/>
                <w:szCs w:val="24"/>
              </w:rPr>
            </w:pPr>
            <w:r>
              <w:rPr>
                <w:rFonts w:hint="eastAsia" w:ascii="宋体" w:hAnsi="宋体" w:cs="宋体"/>
                <w:sz w:val="24"/>
                <w:szCs w:val="24"/>
              </w:rPr>
              <w:t>6、表层样点：二维展示空间位置；点击显示该样点的相关信息，同土壤数据库字段信息。</w:t>
            </w:r>
          </w:p>
          <w:p>
            <w:pPr>
              <w:pStyle w:val="50"/>
              <w:ind w:firstLine="0" w:firstLineChars="0"/>
              <w:jc w:val="left"/>
              <w:rPr>
                <w:rFonts w:ascii="宋体" w:hAnsi="宋体" w:cs="宋体"/>
                <w:sz w:val="24"/>
                <w:szCs w:val="24"/>
              </w:rPr>
            </w:pPr>
            <w:r>
              <w:rPr>
                <w:rFonts w:hint="eastAsia" w:ascii="宋体" w:hAnsi="宋体" w:cs="宋体"/>
                <w:sz w:val="24"/>
                <w:szCs w:val="24"/>
              </w:rPr>
              <w:t>7、其他要求：界面设计配色、图表布局和地图配图合理，视觉无冲突；配色符合大屏展示风格。</w:t>
            </w:r>
          </w:p>
        </w:tc>
        <w:tc>
          <w:tcPr>
            <w:tcW w:w="670" w:type="pct"/>
            <w:vAlign w:val="center"/>
          </w:tcPr>
          <w:p>
            <w:pPr>
              <w:jc w:val="center"/>
              <w:rPr>
                <w:rFonts w:ascii="宋体" w:hAnsi="宋体" w:cs="宋体"/>
                <w:sz w:val="24"/>
                <w:szCs w:val="24"/>
              </w:rPr>
            </w:pPr>
            <w:r>
              <w:rPr>
                <w:rFonts w:hint="eastAsia" w:ascii="宋体" w:hAnsi="宋体" w:cs="宋体"/>
                <w:sz w:val="24"/>
                <w:szCs w:val="24"/>
              </w:rPr>
              <w:t>项</w:t>
            </w:r>
          </w:p>
        </w:tc>
        <w:tc>
          <w:tcPr>
            <w:tcW w:w="483" w:type="pct"/>
            <w:vAlign w:val="center"/>
          </w:tcPr>
          <w:p>
            <w:pPr>
              <w:jc w:val="center"/>
              <w:rPr>
                <w:rFonts w:ascii="宋体" w:hAnsi="宋体" w:cs="宋体"/>
                <w:sz w:val="24"/>
                <w:szCs w:val="24"/>
              </w:rPr>
            </w:pPr>
            <w:r>
              <w:rPr>
                <w:rFonts w:hint="eastAsia" w:ascii="宋体" w:hAnsi="宋体" w:cs="宋体"/>
                <w:sz w:val="24"/>
                <w:szCs w:val="24"/>
              </w:rPr>
              <w:t>1</w:t>
            </w:r>
          </w:p>
        </w:tc>
        <w:tc>
          <w:tcPr>
            <w:tcW w:w="1351" w:type="dxa"/>
            <w:vAlign w:val="center"/>
          </w:tcPr>
          <w:p>
            <w:pPr>
              <w:spacing w:line="240" w:lineRule="auto"/>
              <w:jc w:val="center"/>
              <w:rPr>
                <w:rFonts w:hint="eastAsia" w:ascii="宋体" w:hAnsi="宋体" w:cs="宋体"/>
                <w:sz w:val="24"/>
                <w:szCs w:val="24"/>
              </w:rPr>
            </w:pPr>
            <w:r>
              <w:rPr>
                <w:rFonts w:hint="eastAsia" w:ascii="宋体" w:hAnsi="宋体" w:eastAsia="宋体"/>
                <w:sz w:val="24"/>
                <w:szCs w:val="24"/>
              </w:rPr>
              <w:t>1</w:t>
            </w:r>
            <w:r>
              <w:rPr>
                <w:rFonts w:ascii="宋体" w:hAnsi="宋体" w:eastAsia="宋体"/>
                <w:sz w:val="24"/>
                <w:szCs w:val="24"/>
              </w:rPr>
              <w:t>60000</w:t>
            </w:r>
          </w:p>
        </w:tc>
      </w:tr>
    </w:tbl>
    <w:p>
      <w:pPr>
        <w:spacing w:line="440" w:lineRule="exact"/>
        <w:rPr>
          <w:rFonts w:ascii="宋体" w:hAnsi="宋体"/>
          <w:sz w:val="24"/>
          <w:szCs w:val="24"/>
        </w:rPr>
      </w:pP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sz w:val="24"/>
          <w:szCs w:val="24"/>
          <w:highlight w:val="none"/>
        </w:rPr>
        <w:t>1、交付地点：福建农林大学金山校区校内。</w:t>
      </w:r>
    </w:p>
    <w:p>
      <w:pPr>
        <w:spacing w:line="440" w:lineRule="exact"/>
        <w:ind w:firstLine="481"/>
        <w:rPr>
          <w:rFonts w:ascii="宋体" w:hAnsi="宋体"/>
          <w:sz w:val="24"/>
          <w:szCs w:val="24"/>
          <w:highlight w:val="none"/>
        </w:rPr>
      </w:pPr>
      <w:r>
        <w:rPr>
          <w:rFonts w:hint="eastAsia" w:ascii="宋体" w:hAnsi="宋体"/>
          <w:sz w:val="24"/>
          <w:szCs w:val="24"/>
          <w:highlight w:val="none"/>
        </w:rPr>
        <w:t>2、交付时间：</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合同签订之日起 </w:t>
      </w:r>
      <w:r>
        <w:rPr>
          <w:rFonts w:hint="eastAsia" w:ascii="宋体" w:hAnsi="宋体"/>
          <w:sz w:val="24"/>
          <w:szCs w:val="24"/>
          <w:highlight w:val="none"/>
          <w:u w:val="single"/>
        </w:rPr>
        <w:t xml:space="preserve"> </w:t>
      </w:r>
      <w:r>
        <w:rPr>
          <w:rFonts w:ascii="宋体" w:hAnsi="宋体"/>
          <w:sz w:val="24"/>
          <w:szCs w:val="24"/>
          <w:highlight w:val="none"/>
          <w:u w:val="single"/>
        </w:rPr>
        <w:t>90</w:t>
      </w:r>
      <w:r>
        <w:rPr>
          <w:rFonts w:hint="eastAsia" w:ascii="宋体" w:hAnsi="宋体"/>
          <w:sz w:val="24"/>
          <w:szCs w:val="24"/>
          <w:highlight w:val="none"/>
          <w:u w:val="single"/>
        </w:rPr>
        <w:t xml:space="preserve"> </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交付条件：</w:t>
      </w:r>
    </w:p>
    <w:p>
      <w:pPr>
        <w:pStyle w:val="18"/>
        <w:spacing w:after="0" w:line="440" w:lineRule="exact"/>
        <w:ind w:left="0" w:leftChars="0" w:firstLine="480"/>
        <w:rPr>
          <w:rFonts w:ascii="宋体" w:hAnsi="宋体"/>
          <w:highlight w:val="none"/>
        </w:rPr>
      </w:pPr>
      <w:r>
        <w:rPr>
          <w:rFonts w:hint="eastAsia" w:ascii="宋体" w:hAnsi="宋体"/>
          <w:sz w:val="24"/>
          <w:highlight w:val="none"/>
        </w:rPr>
        <w:t>验收合格交付采购人使用。</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rPr>
        <w:t xml:space="preserve">5 </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rPr>
        <w:t xml:space="preserve"> </w:t>
      </w:r>
      <w:r>
        <w:rPr>
          <w:rFonts w:ascii="宋体" w:hAnsi="宋体"/>
          <w:sz w:val="24"/>
          <w:szCs w:val="24"/>
          <w:highlight w:val="none"/>
          <w:u w:val="single"/>
        </w:rPr>
        <w:t>5</w:t>
      </w:r>
      <w:r>
        <w:rPr>
          <w:rFonts w:hint="eastAsia" w:ascii="宋体" w:hAnsi="宋体"/>
          <w:sz w:val="24"/>
          <w:szCs w:val="24"/>
          <w:highlight w:val="none"/>
          <w:u w:val="single"/>
        </w:rPr>
        <w:t xml:space="preserve"> </w:t>
      </w:r>
      <w:r>
        <w:rPr>
          <w:rFonts w:hint="eastAsia" w:ascii="宋体" w:hAnsi="宋体"/>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sz w:val="24"/>
          <w:szCs w:val="24"/>
          <w:highlight w:val="none"/>
        </w:rPr>
      </w:pPr>
      <w:r>
        <w:rPr>
          <w:rFonts w:hint="eastAsia" w:ascii="宋体" w:hAnsi="宋体"/>
          <w:sz w:val="24"/>
          <w:szCs w:val="24"/>
          <w:highlight w:val="none"/>
        </w:rPr>
        <w:t>5、付款方式：</w:t>
      </w:r>
    </w:p>
    <w:p>
      <w:pPr>
        <w:spacing w:line="440" w:lineRule="exact"/>
        <w:ind w:firstLine="481"/>
        <w:rPr>
          <w:rFonts w:ascii="宋体" w:hAnsi="宋体"/>
          <w:sz w:val="24"/>
          <w:szCs w:val="24"/>
          <w:highlight w:val="none"/>
        </w:rPr>
      </w:pPr>
      <w:r>
        <w:rPr>
          <w:rFonts w:hint="eastAsia" w:ascii="宋体" w:hAnsi="宋体"/>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left="481"/>
        <w:rPr>
          <w:rFonts w:ascii="宋体" w:hAnsi="宋体"/>
          <w:sz w:val="24"/>
          <w:szCs w:val="24"/>
          <w:highlight w:val="none"/>
        </w:rPr>
      </w:pPr>
      <w:r>
        <w:rPr>
          <w:rFonts w:hint="eastAsia" w:ascii="宋体" w:hAnsi="宋体"/>
          <w:sz w:val="24"/>
          <w:szCs w:val="24"/>
          <w:highlight w:val="none"/>
        </w:rPr>
        <w:t>6、质量标准：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ascii="宋体" w:hAnsi="宋体"/>
          <w:sz w:val="24"/>
          <w:szCs w:val="24"/>
          <w:highlight w:val="none"/>
        </w:rPr>
      </w:pPr>
      <w:r>
        <w:rPr>
          <w:rFonts w:hint="eastAsia" w:ascii="宋体" w:hAnsi="宋体"/>
          <w:sz w:val="24"/>
          <w:szCs w:val="24"/>
          <w:highlight w:val="none"/>
        </w:rPr>
        <w:t>7、货物包装方式、安装</w:t>
      </w:r>
    </w:p>
    <w:p>
      <w:pPr>
        <w:pStyle w:val="47"/>
        <w:spacing w:line="360" w:lineRule="exact"/>
        <w:ind w:firstLine="0" w:firstLineChars="0"/>
        <w:rPr>
          <w:rFonts w:ascii="宋体" w:hAnsi="宋体" w:cs="宋体"/>
          <w:sz w:val="24"/>
          <w:szCs w:val="24"/>
          <w:highlight w:val="none"/>
        </w:rPr>
      </w:pPr>
      <w:r>
        <w:rPr>
          <w:rFonts w:hint="eastAsia" w:ascii="宋体" w:hAnsi="宋体"/>
          <w:sz w:val="24"/>
          <w:highlight w:val="none"/>
        </w:rPr>
        <w:t xml:space="preserve">    7.1</w:t>
      </w:r>
      <w:r>
        <w:rPr>
          <w:rFonts w:hint="eastAsia" w:ascii="宋体" w:hAnsi="宋体" w:cs="宋体"/>
          <w:sz w:val="24"/>
          <w:szCs w:val="24"/>
          <w:highlight w:val="none"/>
        </w:rPr>
        <w:t>包装：货物交货时应按国家有关标准要求进行包装。</w:t>
      </w:r>
    </w:p>
    <w:p>
      <w:pPr>
        <w:pStyle w:val="47"/>
        <w:spacing w:line="360" w:lineRule="exact"/>
        <w:ind w:firstLine="0" w:firstLineChars="0"/>
        <w:rPr>
          <w:rFonts w:ascii="宋体" w:hAnsi="宋体" w:cs="宋体"/>
          <w:sz w:val="24"/>
          <w:szCs w:val="24"/>
          <w:highlight w:val="none"/>
        </w:rPr>
      </w:pPr>
      <w:r>
        <w:rPr>
          <w:rFonts w:hint="eastAsia" w:ascii="宋体" w:hAnsi="宋体" w:cs="宋体"/>
          <w:sz w:val="24"/>
          <w:szCs w:val="24"/>
          <w:highlight w:val="none"/>
        </w:rPr>
        <w:t xml:space="preserve">    7.2包装必须与运输方式相适应，包装方式的确定及包装费用均由成交供应商负责；由于不适当的包装而造成货物在运输过程中有任何损坏由成交供应商负责。</w:t>
      </w:r>
    </w:p>
    <w:p>
      <w:pPr>
        <w:pStyle w:val="47"/>
        <w:spacing w:line="360" w:lineRule="exact"/>
        <w:ind w:firstLine="0" w:firstLineChars="0"/>
        <w:rPr>
          <w:rFonts w:ascii="宋体" w:hAnsi="宋体"/>
          <w:sz w:val="24"/>
          <w:highlight w:val="none"/>
        </w:rPr>
      </w:pPr>
      <w:r>
        <w:rPr>
          <w:rFonts w:hint="eastAsia" w:ascii="宋体" w:hAnsi="宋体" w:cs="宋体"/>
          <w:sz w:val="24"/>
          <w:szCs w:val="24"/>
          <w:highlight w:val="none"/>
        </w:rPr>
        <w:t xml:space="preserve">    7.3包装应足以承受整个过程中的运输、转运、装卸、储存等，充分考虑到运输途中的各种情况（如暴露于恶劣气候等）和福州地区的气候特点，以及露天存放的需要。</w:t>
      </w:r>
    </w:p>
    <w:p>
      <w:pPr>
        <w:numPr>
          <w:ilvl w:val="0"/>
          <w:numId w:val="2"/>
        </w:numPr>
        <w:spacing w:line="440" w:lineRule="exact"/>
        <w:ind w:firstLine="481"/>
        <w:rPr>
          <w:rFonts w:ascii="宋体" w:hAnsi="宋体"/>
          <w:sz w:val="24"/>
          <w:szCs w:val="24"/>
          <w:highlight w:val="none"/>
        </w:rPr>
      </w:pPr>
      <w:r>
        <w:rPr>
          <w:rFonts w:hint="eastAsia" w:ascii="宋体" w:hAnsi="宋体"/>
          <w:sz w:val="24"/>
          <w:szCs w:val="24"/>
          <w:highlight w:val="none"/>
        </w:rPr>
        <w:t>售后服务要求</w:t>
      </w:r>
    </w:p>
    <w:p>
      <w:pPr>
        <w:pStyle w:val="16"/>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8.1成交供应商须按竞价文件的要求提供合格的产品，质保期从验收之日起算起</w:t>
      </w:r>
      <w:r>
        <w:rPr>
          <w:rFonts w:hint="eastAsia" w:ascii="宋体" w:hAnsi="宋体"/>
          <w:b/>
          <w:kern w:val="2"/>
          <w:szCs w:val="24"/>
          <w:highlight w:val="none"/>
        </w:rPr>
        <w:t>贰年</w:t>
      </w:r>
      <w:r>
        <w:rPr>
          <w:rFonts w:hint="eastAsia" w:ascii="宋体" w:hAnsi="宋体"/>
          <w:kern w:val="2"/>
          <w:szCs w:val="24"/>
          <w:highlight w:val="none"/>
        </w:rPr>
        <w:t>。土壤数据管理空间引擎提供</w:t>
      </w:r>
      <w:r>
        <w:rPr>
          <w:rFonts w:hint="eastAsia" w:ascii="宋体" w:hAnsi="宋体"/>
          <w:b/>
          <w:bCs/>
          <w:kern w:val="2"/>
          <w:szCs w:val="24"/>
          <w:highlight w:val="none"/>
        </w:rPr>
        <w:t>壹年</w:t>
      </w:r>
      <w:r>
        <w:rPr>
          <w:rFonts w:hint="eastAsia" w:ascii="宋体" w:hAnsi="宋体"/>
          <w:kern w:val="2"/>
          <w:szCs w:val="24"/>
          <w:highlight w:val="none"/>
        </w:rPr>
        <w:t>免费升级服务。在质量保证期内出现属本次新采购货物质量问题，成交供应商免费为采购人更换，并确保质量。保修期内，免费保修期自验收签收之日起计算。保修期内非因操作不当造成需要更换的零配件及货物由成交供应商负责包修、包换。</w:t>
      </w:r>
    </w:p>
    <w:p>
      <w:pPr>
        <w:pStyle w:val="16"/>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8.2所报产品为原厂正品，在保证设备正常安装、使用和维护的情况下，质量保修期从本项目最终验收合格之日起计算。</w:t>
      </w:r>
    </w:p>
    <w:p>
      <w:pPr>
        <w:pStyle w:val="47"/>
        <w:spacing w:line="360" w:lineRule="exact"/>
        <w:ind w:firstLine="480"/>
        <w:rPr>
          <w:rFonts w:ascii="宋体" w:hAnsi="宋体" w:cs="宋体"/>
          <w:sz w:val="24"/>
          <w:szCs w:val="24"/>
          <w:highlight w:val="none"/>
          <w:lang w:val="en-GB"/>
        </w:rPr>
      </w:pPr>
      <w:r>
        <w:rPr>
          <w:rFonts w:hint="eastAsia" w:ascii="宋体" w:hAnsi="宋体" w:cs="宋体"/>
          <w:sz w:val="24"/>
          <w:szCs w:val="24"/>
          <w:highlight w:val="none"/>
          <w:lang w:val="en-GB"/>
        </w:rPr>
        <w:t>8.3在质保期内设备若发生非人为故障，成交供货商应免费上门检修维护，免费更换零部件，免费提供咨询、维修和更换零部件等服务。超过质保期，供应商可视自身情况承诺只收取成本费或提供终身维护。供应商可视自身能力在竞价文件中提供更优、更合理的维修服务承诺。</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12.2竞价人应以包括本项目所涉及的有关项目的所有费用进行报价，报价应包含</w:t>
      </w:r>
      <w:r>
        <w:rPr>
          <w:rFonts w:hint="eastAsia" w:ascii="宋体" w:hAnsi="宋体" w:cs="新宋体"/>
          <w:kern w:val="0"/>
          <w:sz w:val="24"/>
          <w:szCs w:val="22"/>
          <w:highlight w:val="none"/>
        </w:rPr>
        <w:t>货物生产、制造、包装、运输、人工、税金、安装及安装所需的辅料、验收等</w:t>
      </w:r>
      <w:r>
        <w:rPr>
          <w:rFonts w:hint="eastAsia" w:ascii="宋体" w:hAnsi="宋体" w:cs="新宋体"/>
          <w:color w:val="000000" w:themeColor="text1"/>
          <w:kern w:val="0"/>
          <w:sz w:val="24"/>
          <w:szCs w:val="22"/>
          <w:highlight w:val="none"/>
          <w14:textFill>
            <w14:solidFill>
              <w14:schemeClr w14:val="tx1"/>
            </w14:solidFill>
          </w14:textFill>
        </w:rPr>
        <w:t>。</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hAnsi="宋体"/>
          <w:sz w:val="24"/>
          <w:szCs w:val="24"/>
        </w:rPr>
        <w:t xml:space="preserve">福建晨至信招标代理有限公司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hAnsi="宋体"/>
          <w:sz w:val="24"/>
          <w:szCs w:val="24"/>
        </w:rPr>
        <w:t xml:space="preserve">招商银行福州分行营业部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账 号：</w:t>
      </w:r>
      <w:r>
        <w:rPr>
          <w:rFonts w:hint="eastAsia" w:ascii="宋体" w:hAnsi="宋体"/>
          <w:sz w:val="24"/>
          <w:szCs w:val="24"/>
        </w:rPr>
        <w:t>591905045810601</w:t>
      </w:r>
      <w:r>
        <w:rPr>
          <w:rFonts w:ascii="宋体" w:hAnsi="宋体"/>
          <w:sz w:val="24"/>
          <w:szCs w:val="24"/>
        </w:rPr>
        <w:t xml:space="preserve"> </w:t>
      </w:r>
      <w:r>
        <w:rPr>
          <w:rFonts w:hint="eastAsia" w:ascii="宋体" w:hAnsi="宋体"/>
          <w:sz w:val="24"/>
          <w:szCs w:val="24"/>
        </w:rPr>
        <w:t xml:space="preserve"> </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5"/>
        <w:rPr>
          <w:sz w:val="24"/>
          <w:szCs w:val="24"/>
        </w:rPr>
      </w:pPr>
      <w:r>
        <w:rPr>
          <w:rFonts w:hint="eastAsia" w:ascii="宋体" w:hAnsi="宋体" w:cs="宋体"/>
          <w:bCs/>
          <w:kern w:val="0"/>
          <w:sz w:val="24"/>
          <w:szCs w:val="24"/>
        </w:rPr>
        <w:t>详见</w:t>
      </w:r>
      <w:r>
        <w:rPr>
          <w:rFonts w:hint="eastAsia" w:ascii="宋体" w:hAnsi="宋体" w:cs="宋体"/>
          <w:sz w:val="24"/>
          <w:szCs w:val="24"/>
        </w:rPr>
        <w:t>网上竞价文件第二章。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wordWrap w:val="0"/>
        <w:spacing w:line="360" w:lineRule="auto"/>
        <w:jc w:val="left"/>
        <w:rPr>
          <w:rStyle w:val="51"/>
          <w:rFonts w:ascii="宋体" w:hAnsi="宋体" w:cs="宋体"/>
          <w:kern w:val="0"/>
          <w:sz w:val="24"/>
        </w:rPr>
      </w:pPr>
      <w:r>
        <w:rPr>
          <w:rFonts w:hint="eastAsia" w:ascii="宋体" w:hAnsi="宋体" w:cs="宋体"/>
          <w:bCs/>
          <w:kern w:val="0"/>
          <w:sz w:val="24"/>
          <w:szCs w:val="24"/>
        </w:rPr>
        <w:t>1、竞价人在网上竞价报名截止时间前须</w:t>
      </w:r>
      <w:r>
        <w:rPr>
          <w:rStyle w:val="51"/>
          <w:rFonts w:hint="eastAsia" w:ascii="宋体" w:hAnsi="宋体" w:cs="宋体"/>
          <w:kern w:val="0"/>
          <w:sz w:val="24"/>
        </w:rPr>
        <w:t>在网上竞价平台（网址：http://www.fjczx.com ）上进行注册、报名（上传报价文件）。</w:t>
      </w:r>
      <w:r>
        <w:rPr>
          <w:rFonts w:hint="eastAsia" w:ascii="宋体" w:hAnsi="宋体" w:cs="宋体"/>
          <w:bCs/>
          <w:kern w:val="0"/>
          <w:sz w:val="24"/>
          <w:szCs w:val="24"/>
        </w:rPr>
        <w:t>未按以上要求提交报名材料的竞价人，将导致其竞价资格被拒绝。</w:t>
      </w:r>
      <w:r>
        <w:rPr>
          <w:rStyle w:val="51"/>
          <w:rFonts w:hint="eastAsia" w:ascii="宋体" w:hAnsi="宋体" w:cs="宋体"/>
          <w:kern w:val="0"/>
          <w:sz w:val="24"/>
        </w:rPr>
        <w:t>具体操作指南详见网上竞价平台（网址：http://www.fjczx.com）</w:t>
      </w:r>
      <w:r>
        <w:rPr>
          <w:rStyle w:val="51"/>
          <w:rFonts w:hint="eastAsia" w:ascii="宋体" w:hAnsi="宋体" w:cs="宋体"/>
          <w:b/>
          <w:bCs/>
          <w:kern w:val="0"/>
          <w:sz w:val="24"/>
        </w:rPr>
        <w:t>。</w:t>
      </w:r>
      <w:r>
        <w:rPr>
          <w:rStyle w:val="51"/>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spacing w:line="360" w:lineRule="auto"/>
        <w:jc w:val="left"/>
        <w:rPr>
          <w:rFonts w:ascii="宋体" w:hAnsi="宋体"/>
          <w:sz w:val="24"/>
          <w:szCs w:val="24"/>
        </w:rPr>
      </w:pPr>
      <w:r>
        <w:rPr>
          <w:rFonts w:hint="eastAsia" w:ascii="宋体" w:hAnsi="宋体" w:cs="宋体"/>
          <w:sz w:val="24"/>
          <w:szCs w:val="24"/>
        </w:rPr>
        <w:t>2、供应商须</w:t>
      </w:r>
      <w:r>
        <w:rPr>
          <w:rStyle w:val="51"/>
          <w:rFonts w:hint="eastAsia" w:ascii="宋体" w:hAnsi="宋体" w:cs="宋体"/>
          <w:sz w:val="24"/>
        </w:rPr>
        <w:t>按本文件《第五章 报价文件格式》格式制作报名审核文件（无需提交“竞价一览表”），并在规定的报名截止时间前将经供应商单位负责人或授权代表签名并逐页加盖公章（或骑缝章）后的报价文件扫描件（PDF格式）上传至网上竞价平台</w:t>
      </w:r>
      <w:r>
        <w:rPr>
          <w:rFonts w:hint="eastAsia" w:ascii="宋体" w:hAnsi="宋体" w:cs="宋体"/>
          <w:bCs/>
          <w:kern w:val="0"/>
          <w:sz w:val="24"/>
          <w:szCs w:val="24"/>
        </w:rPr>
        <w:t>并同时提供竞价保证金凭证复印件加盖公章</w:t>
      </w:r>
      <w:r>
        <w:rPr>
          <w:rStyle w:val="51"/>
          <w:rFonts w:hint="eastAsia" w:ascii="宋体" w:hAnsi="宋体" w:cs="宋体"/>
          <w:sz w:val="24"/>
        </w:rPr>
        <w:t>，否则报名审核不合格。在报名截止时间前，供应商可对提交的响应文件进行修改，并以网上竞价平台记录的最后一次提交的响应文件为准。代理机构在网上竞价报名截止时间前将对所有已上传的响应文件进行审查。</w:t>
      </w:r>
      <w:r>
        <w:rPr>
          <w:rFonts w:hint="eastAsia" w:ascii="宋体" w:hAnsi="宋体"/>
          <w:sz w:val="24"/>
          <w:szCs w:val="24"/>
        </w:rPr>
        <w:t>供应商可在网上竞价开始时间前通过平台查询其是否通过审核，如未通过审核，可获悉未通过的具体原因。</w:t>
      </w:r>
    </w:p>
    <w:p>
      <w:pPr>
        <w:widowControl/>
        <w:wordWrap w:val="0"/>
        <w:spacing w:line="360" w:lineRule="auto"/>
        <w:jc w:val="left"/>
        <w:rPr>
          <w:rStyle w:val="51"/>
          <w:rFonts w:ascii="宋体" w:hAnsi="宋体" w:cs="宋体"/>
          <w:kern w:val="0"/>
          <w:sz w:val="24"/>
        </w:rPr>
      </w:pPr>
      <w:r>
        <w:rPr>
          <w:rStyle w:val="51"/>
          <w:rFonts w:hint="eastAsia" w:ascii="宋体" w:hAnsi="宋体" w:eastAsia="宋体" w:cs="宋体"/>
          <w:sz w:val="24"/>
          <w:lang w:val="en-US"/>
        </w:rPr>
        <w:t>3、</w:t>
      </w:r>
      <w:r>
        <w:rPr>
          <w:rStyle w:val="51"/>
          <w:rFonts w:hint="eastAsia"/>
          <w:sz w:val="24"/>
        </w:rPr>
        <w:t>供应商提交的报价文件符合网上竞价文件要求的（即不存在网上竞价文件中规定的无效报价情形的）方可在网上竞价时间内参与竞价</w:t>
      </w:r>
      <w:r>
        <w:rPr>
          <w:rStyle w:val="51"/>
          <w:sz w:val="24"/>
        </w:rPr>
        <w:t>。</w:t>
      </w:r>
      <w:r>
        <w:rPr>
          <w:rStyle w:val="51"/>
          <w:rFonts w:hint="eastAsia"/>
          <w:sz w:val="24"/>
        </w:rPr>
        <w:t>若供应商的报价文件存在网上竞价文件中规定无效报价情形的，则报名审核不合格，该供应商</w:t>
      </w:r>
      <w:r>
        <w:rPr>
          <w:rFonts w:hint="eastAsia"/>
          <w:sz w:val="24"/>
          <w:szCs w:val="24"/>
        </w:rPr>
        <w:t>将失去竞价资格。网上竞价文件及供应商提交的电子响应文件均具有法律效</w:t>
      </w:r>
      <w:r>
        <w:rPr>
          <w:rStyle w:val="51"/>
          <w:sz w:val="24"/>
        </w:rPr>
        <w:t>力</w:t>
      </w:r>
      <w:r>
        <w:rPr>
          <w:rStyle w:val="51"/>
          <w:rFonts w:hint="eastAsia"/>
          <w:sz w:val="24"/>
        </w:rPr>
        <w:t>。</w:t>
      </w:r>
    </w:p>
    <w:p>
      <w:pPr>
        <w:pStyle w:val="16"/>
        <w:spacing w:before="75" w:beforeAutospacing="0" w:after="75" w:afterAutospacing="0" w:line="360" w:lineRule="auto"/>
      </w:pPr>
      <w:r>
        <w:rPr>
          <w:rFonts w:hint="eastAsia" w:ascii="宋体" w:hAnsi="宋体" w:cs="宋体"/>
        </w:rPr>
        <w:t>4.有下列</w:t>
      </w:r>
      <w:r>
        <w:rPr>
          <w:rFonts w:hint="eastAsia"/>
        </w:rPr>
        <w:t>情形之一的，</w:t>
      </w:r>
      <w:r>
        <w:rPr>
          <w:rStyle w:val="22"/>
          <w:rFonts w:hint="eastAsia"/>
        </w:rPr>
        <w:t>报名审核不合格，视为无效报价：</w:t>
      </w:r>
    </w:p>
    <w:p>
      <w:pPr>
        <w:spacing w:line="440" w:lineRule="exact"/>
        <w:rPr>
          <w:rFonts w:ascii="宋体" w:hAnsi="宋体" w:cs="宋体"/>
          <w:sz w:val="24"/>
          <w:szCs w:val="24"/>
        </w:rPr>
      </w:pPr>
      <w:r>
        <w:rPr>
          <w:rFonts w:hint="eastAsia" w:ascii="宋体" w:hAnsi="宋体" w:cs="宋体"/>
          <w:sz w:val="24"/>
          <w:szCs w:val="24"/>
        </w:rPr>
        <w:t>（1）不符合本文件第二章“</w:t>
      </w:r>
      <w:r>
        <w:rPr>
          <w:rFonts w:hint="eastAsia" w:ascii="宋体" w:hAnsi="宋体"/>
          <w:sz w:val="24"/>
          <w:szCs w:val="24"/>
        </w:rPr>
        <w:t>（一）资格标准</w:t>
      </w:r>
      <w:r>
        <w:rPr>
          <w:rFonts w:hint="eastAsia" w:ascii="宋体" w:hAnsi="宋体" w:cs="宋体"/>
          <w:kern w:val="0"/>
          <w:sz w:val="24"/>
          <w:szCs w:val="24"/>
        </w:rPr>
        <w:t>”</w:t>
      </w:r>
      <w:r>
        <w:rPr>
          <w:rFonts w:hint="eastAsia" w:ascii="宋体" w:hAnsi="宋体" w:cs="宋体"/>
          <w:sz w:val="24"/>
          <w:szCs w:val="24"/>
        </w:rPr>
        <w:t>的；</w:t>
      </w:r>
    </w:p>
    <w:p>
      <w:pPr>
        <w:pStyle w:val="48"/>
        <w:spacing w:line="360" w:lineRule="auto"/>
        <w:rPr>
          <w:rFonts w:ascii="宋体" w:hAnsi="宋体" w:cs="宋体"/>
          <w:sz w:val="24"/>
          <w:szCs w:val="24"/>
        </w:rPr>
      </w:pPr>
      <w:r>
        <w:rPr>
          <w:rFonts w:hint="eastAsia" w:ascii="宋体" w:hAnsi="宋体" w:cs="宋体"/>
          <w:sz w:val="24"/>
          <w:szCs w:val="24"/>
        </w:rPr>
        <w:t>（2）违反网上竞价文件中载明“无效报价”条款</w:t>
      </w:r>
      <w:r>
        <w:rPr>
          <w:rFonts w:ascii="宋体" w:hAnsi="宋体" w:cs="宋体"/>
          <w:kern w:val="0"/>
          <w:sz w:val="24"/>
          <w:szCs w:val="24"/>
          <w:lang w:bidi="ar"/>
        </w:rPr>
        <w:t>的规定</w:t>
      </w:r>
      <w:r>
        <w:rPr>
          <w:rFonts w:hint="eastAsia" w:ascii="宋体" w:hAnsi="宋体" w:cs="宋体"/>
          <w:kern w:val="0"/>
          <w:sz w:val="24"/>
          <w:szCs w:val="24"/>
          <w:lang w:bidi="ar"/>
        </w:rPr>
        <w:t>。</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wordWrap w:val="0"/>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1、采购代理机构将采购人提出的采购需求在中国政府采购网(http://www.ccgp.gov.cn/)、福建晨至信招标代理有限公司(http://www.fjczx.com)、云采通（http://www.yuncaitong.cn/）进行发布。网上竞价的报价时限为</w:t>
      </w:r>
      <w:r>
        <w:rPr>
          <w:rFonts w:hint="eastAsia" w:ascii="宋体" w:hAnsi="宋体" w:cs="宋体"/>
          <w:bCs/>
          <w:kern w:val="0"/>
          <w:sz w:val="24"/>
          <w:szCs w:val="24"/>
          <w:u w:val="single"/>
        </w:rPr>
        <w:t>2小时</w:t>
      </w:r>
      <w:r>
        <w:rPr>
          <w:rFonts w:hint="eastAsia" w:ascii="宋体" w:hAnsi="宋体" w:cs="宋体"/>
          <w:bCs/>
          <w:kern w:val="0"/>
          <w:sz w:val="24"/>
          <w:szCs w:val="24"/>
        </w:rPr>
        <w:t>，在报价时限截止前，潜在竞价人可通过</w:t>
      </w:r>
      <w:r>
        <w:rPr>
          <w:rFonts w:hint="eastAsia" w:ascii="宋体" w:hAnsi="宋体"/>
          <w:sz w:val="24"/>
        </w:rPr>
        <w:t>福建晨至信招标代理有限公司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3、符合以上要求的报价，竞价人可以在规定的报价时限内不限次数报价，直到竞价截止时间为止。竞价人每次报价须同时填写报价文件（</w:t>
      </w:r>
      <w:r>
        <w:rPr>
          <w:rStyle w:val="51"/>
          <w:rFonts w:hint="eastAsia" w:ascii="宋体" w:hAnsi="宋体" w:cs="宋体"/>
          <w:bCs/>
          <w:sz w:val="24"/>
        </w:rPr>
        <w:t>《第五章 报价文件格式》</w:t>
      </w:r>
      <w:r>
        <w:rPr>
          <w:rFonts w:hint="eastAsia" w:ascii="宋体" w:hAnsi="宋体" w:cs="宋体"/>
          <w:bCs/>
          <w:kern w:val="0"/>
          <w:sz w:val="24"/>
          <w:szCs w:val="24"/>
        </w:rPr>
        <w:t>中“竞价一览表”）并签字确认，每页加盖公章后扫描上传。</w:t>
      </w:r>
      <w:r>
        <w:rPr>
          <w:rFonts w:hint="eastAsia" w:ascii="宋体" w:hAnsi="宋体" w:cs="宋体"/>
          <w:b/>
          <w:kern w:val="0"/>
          <w:sz w:val="24"/>
          <w:szCs w:val="24"/>
        </w:rPr>
        <w:t>未按上述条款要求扫描上传报价文件的竞价无效。电子报价文档具有法律效力。</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http://www.ccgp.gov.cn/)、福建晨至信招标代理有限公司(http://www.fjczx.com)、云采通（http://www.yuncaitong.cn/）上发布成交公告。公告期限为公告之日起1个工作日。</w:t>
      </w:r>
    </w:p>
    <w:p>
      <w:pPr>
        <w:widowControl/>
        <w:spacing w:line="375" w:lineRule="atLeast"/>
        <w:jc w:val="left"/>
        <w:rPr>
          <w:rFonts w:ascii="宋体" w:hAnsi="宋体" w:cs="宋体"/>
          <w:bCs/>
          <w:sz w:val="24"/>
          <w:szCs w:val="24"/>
        </w:rPr>
      </w:pPr>
      <w:r>
        <w:rPr>
          <w:rFonts w:ascii="宋体" w:hAnsi="宋体" w:cs="宋体"/>
          <w:bCs/>
          <w:kern w:val="0"/>
          <w:sz w:val="24"/>
          <w:szCs w:val="24"/>
        </w:rPr>
        <w:t>2、成交公告发布之日起，成交供应商即可携带网上竞价项目报价文件（一式三份）至采购代理机构处领取成交通知书。竞价人携带的网上竞价项目报价文件</w:t>
      </w:r>
      <w:r>
        <w:rPr>
          <w:rFonts w:hint="eastAsia" w:ascii="宋体" w:hAnsi="宋体" w:cs="宋体"/>
          <w:bCs/>
          <w:kern w:val="0"/>
          <w:sz w:val="24"/>
          <w:szCs w:val="24"/>
        </w:rPr>
        <w:t>应按《</w:t>
      </w:r>
      <w:r>
        <w:rPr>
          <w:rFonts w:hint="eastAsia" w:ascii="宋体" w:hAnsi="宋体"/>
          <w:bCs/>
          <w:sz w:val="24"/>
          <w:szCs w:val="24"/>
        </w:rPr>
        <w:t>第五章 报价文件格式</w:t>
      </w:r>
      <w:r>
        <w:rPr>
          <w:rFonts w:hint="eastAsia" w:ascii="宋体" w:hAnsi="宋体" w:cs="宋体"/>
          <w:bCs/>
          <w:kern w:val="0"/>
          <w:sz w:val="24"/>
          <w:szCs w:val="24"/>
        </w:rPr>
        <w:t>》要求，包括但不限于以下内容：统一社会信用代码营业执照、法人代表授权书</w:t>
      </w:r>
      <w:r>
        <w:rPr>
          <w:rFonts w:ascii="宋体" w:hAnsi="宋体" w:cs="宋体"/>
          <w:bCs/>
          <w:kern w:val="0"/>
          <w:sz w:val="24"/>
          <w:szCs w:val="24"/>
        </w:rPr>
        <w:t>(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4100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 xml:space="preserve">福建晨至信招标代理有限公司  </w:t>
      </w:r>
      <w:r>
        <w:rPr>
          <w:rFonts w:ascii="宋体" w:hAnsi="宋体"/>
          <w:sz w:val="24"/>
          <w:szCs w:val="24"/>
        </w:rPr>
        <w:t>开 户 行：</w:t>
      </w:r>
      <w:r>
        <w:rPr>
          <w:rFonts w:hint="eastAsia" w:ascii="宋体" w:hAnsi="宋体"/>
          <w:sz w:val="24"/>
          <w:szCs w:val="24"/>
        </w:rPr>
        <w:t>厦门银行股份有限公司福州分行营业部</w:t>
      </w:r>
      <w:r>
        <w:rPr>
          <w:rFonts w:ascii="宋体" w:hAnsi="宋体"/>
          <w:sz w:val="24"/>
          <w:szCs w:val="24"/>
        </w:rPr>
        <w:t xml:space="preserve"> 账 号</w:t>
      </w:r>
      <w:r>
        <w:rPr>
          <w:rFonts w:hint="eastAsia" w:ascii="宋体" w:hAnsi="宋体"/>
          <w:sz w:val="24"/>
          <w:szCs w:val="24"/>
        </w:rPr>
        <w:t>：80201000005242  ）</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郭九信</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8005913771</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2"/>
          <w:rFonts w:ascii="宋体" w:hAnsi="宋体"/>
          <w:sz w:val="24"/>
          <w:szCs w:val="24"/>
        </w:rPr>
      </w:pPr>
    </w:p>
    <w:p>
      <w:pPr>
        <w:pStyle w:val="16"/>
        <w:spacing w:before="0" w:beforeAutospacing="0" w:after="0" w:afterAutospacing="0"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郭九信</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8005913771</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240" w:line="360" w:lineRule="auto"/>
        <w:rPr>
          <w:rFonts w:ascii="宋体" w:hAnsi="宋体"/>
          <w:szCs w:val="24"/>
        </w:rPr>
      </w:pPr>
      <w:r>
        <w:rPr>
          <w:rFonts w:ascii="宋体" w:hAnsi="宋体"/>
          <w:szCs w:val="24"/>
        </w:rPr>
        <w:t>                                                                          </w:t>
      </w:r>
    </w:p>
    <w:p>
      <w:pPr>
        <w:rPr>
          <w:rFonts w:ascii="宋体" w:hAnsi="宋体"/>
        </w:rPr>
      </w:pPr>
    </w:p>
    <w:p>
      <w:pPr>
        <w:pStyle w:val="16"/>
        <w:spacing w:before="75" w:after="75" w:line="360" w:lineRule="auto"/>
        <w:rPr>
          <w:rFonts w:ascii="宋体" w:hAnsi="宋体"/>
          <w:szCs w:val="24"/>
        </w:rPr>
      </w:pPr>
    </w:p>
    <w:p>
      <w:pPr>
        <w:pStyle w:val="16"/>
        <w:spacing w:before="75" w:after="240" w:line="360" w:lineRule="auto"/>
        <w:rPr>
          <w:rFonts w:ascii="宋体" w:hAnsi="宋体"/>
          <w:szCs w:val="24"/>
        </w:rPr>
      </w:pPr>
      <w:r>
        <w:rPr>
          <w:rFonts w:ascii="宋体" w:hAnsi="宋体"/>
          <w:szCs w:val="24"/>
        </w:rPr>
        <w:t>                                                                          </w:t>
      </w:r>
    </w:p>
    <w:p>
      <w:pPr>
        <w:pStyle w:val="16"/>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9525" b="889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9525" b="889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9525" b="8890"/>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3"/>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福建晨至信招标代理有限公司</w:t>
      </w:r>
      <w:r>
        <w:rPr>
          <w:rFonts w:hint="eastAsia" w:ascii="宋体" w:hAnsi="宋体"/>
          <w:sz w:val="24"/>
        </w:rPr>
        <w:t>：</w:t>
      </w:r>
    </w:p>
    <w:p>
      <w:pPr>
        <w:pStyle w:val="8"/>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福建晨至信招标代理有限公司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8"/>
        <w:ind w:firstLine="482"/>
        <w:rPr>
          <w:rFonts w:ascii="宋体" w:hAnsi="宋体"/>
        </w:rPr>
      </w:pPr>
      <w:r>
        <w:rPr>
          <w:rFonts w:hint="eastAsia" w:ascii="宋体" w:hAnsi="宋体"/>
          <w:b/>
          <w:sz w:val="24"/>
          <w:u w:val="single"/>
        </w:rPr>
        <w:t>（2）竞价人应以包括本项目所涉及的有关项目的所有费用进行报价，包括：报价应包含</w:t>
      </w:r>
      <w:r>
        <w:rPr>
          <w:rFonts w:hint="eastAsia" w:ascii="宋体" w:hAnsi="宋体" w:cs="新宋体"/>
          <w:b/>
          <w:kern w:val="0"/>
          <w:sz w:val="24"/>
          <w:szCs w:val="22"/>
          <w:u w:val="single"/>
        </w:rPr>
        <w:t>货物生产、制造、包装、运输、人工、税金、安装及安装所需的辅料、验收等</w:t>
      </w:r>
      <w:r>
        <w:rPr>
          <w:rFonts w:hint="eastAsia" w:ascii="宋体" w:hAnsi="宋体"/>
          <w:b/>
          <w:sz w:val="24"/>
          <w:u w:val="single"/>
        </w:rPr>
        <w:t xml:space="preserve"> 。</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报名截止时间前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福建晨至信招标代理有限公司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r>
      <w:rPr>
        <w:rFonts w:hint="eastAsia"/>
        <w:sz w:val="21"/>
        <w:szCs w:val="21"/>
      </w:rPr>
      <w:t xml:space="preserve"> </w:t>
    </w:r>
  </w:p>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NjIxOWRmYTVhY2FhYjIxOTFiOTgyY2Y1NjEwNDg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670D"/>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44C"/>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2F4"/>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3A66"/>
    <w:rsid w:val="00224B80"/>
    <w:rsid w:val="00224F08"/>
    <w:rsid w:val="00225C7F"/>
    <w:rsid w:val="0022692B"/>
    <w:rsid w:val="0022799C"/>
    <w:rsid w:val="00230A6E"/>
    <w:rsid w:val="00231FF5"/>
    <w:rsid w:val="00232817"/>
    <w:rsid w:val="00233065"/>
    <w:rsid w:val="0023308C"/>
    <w:rsid w:val="00233A93"/>
    <w:rsid w:val="002348D2"/>
    <w:rsid w:val="00234DE7"/>
    <w:rsid w:val="002355A4"/>
    <w:rsid w:val="00235C62"/>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5543"/>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0287"/>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3C80"/>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96557"/>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3817"/>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4D5"/>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1319"/>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2654"/>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35B0"/>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1F92"/>
    <w:rsid w:val="00952584"/>
    <w:rsid w:val="009527D3"/>
    <w:rsid w:val="00952827"/>
    <w:rsid w:val="00952CAD"/>
    <w:rsid w:val="00954EAB"/>
    <w:rsid w:val="00955727"/>
    <w:rsid w:val="00956073"/>
    <w:rsid w:val="00956865"/>
    <w:rsid w:val="0095781B"/>
    <w:rsid w:val="00957C3A"/>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48C3"/>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07D"/>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4924"/>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194"/>
    <w:rsid w:val="00C844B6"/>
    <w:rsid w:val="00C85C0B"/>
    <w:rsid w:val="00C8704D"/>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232F"/>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5F4F"/>
    <w:rsid w:val="00E260E0"/>
    <w:rsid w:val="00E27488"/>
    <w:rsid w:val="00E3156A"/>
    <w:rsid w:val="00E31C73"/>
    <w:rsid w:val="00E324C5"/>
    <w:rsid w:val="00E33BB2"/>
    <w:rsid w:val="00E34805"/>
    <w:rsid w:val="00E3502E"/>
    <w:rsid w:val="00E36C7F"/>
    <w:rsid w:val="00E451FF"/>
    <w:rsid w:val="00E45D7A"/>
    <w:rsid w:val="00E465FF"/>
    <w:rsid w:val="00E46C8C"/>
    <w:rsid w:val="00E47E49"/>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4B14"/>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0FC5"/>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3E77"/>
    <w:rsid w:val="00ED4774"/>
    <w:rsid w:val="00ED4E2C"/>
    <w:rsid w:val="00ED54B5"/>
    <w:rsid w:val="00ED6947"/>
    <w:rsid w:val="00EE2110"/>
    <w:rsid w:val="00EE27E5"/>
    <w:rsid w:val="00EE32CD"/>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678353E"/>
    <w:rsid w:val="0E0D20F0"/>
    <w:rsid w:val="18DA6CE0"/>
    <w:rsid w:val="24D334FA"/>
    <w:rsid w:val="28254FE9"/>
    <w:rsid w:val="2FB92659"/>
    <w:rsid w:val="3CF762A6"/>
    <w:rsid w:val="45B1654F"/>
    <w:rsid w:val="4AD36F68"/>
    <w:rsid w:val="4CC86A49"/>
    <w:rsid w:val="4EB56993"/>
    <w:rsid w:val="51B16EBD"/>
    <w:rsid w:val="53F6521E"/>
    <w:rsid w:val="55741347"/>
    <w:rsid w:val="55A15442"/>
    <w:rsid w:val="63BC7C0B"/>
    <w:rsid w:val="6B2808F8"/>
    <w:rsid w:val="70301505"/>
    <w:rsid w:val="75636EE8"/>
    <w:rsid w:val="7864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basedOn w:val="21"/>
    <w:qFormat/>
    <w:uiPriority w:val="0"/>
    <w:rPr>
      <w:color w:val="0000FF"/>
      <w:u w:val="single"/>
    </w:rPr>
  </w:style>
  <w:style w:type="character" w:styleId="25">
    <w:name w:val="annotation reference"/>
    <w:qFormat/>
    <w:uiPriority w:val="0"/>
    <w:rPr>
      <w:sz w:val="21"/>
      <w:szCs w:val="21"/>
    </w:rPr>
  </w:style>
  <w:style w:type="character" w:customStyle="1" w:styleId="26">
    <w:name w:val="标题 1 字符"/>
    <w:basedOn w:val="21"/>
    <w:link w:val="2"/>
    <w:qFormat/>
    <w:uiPriority w:val="0"/>
    <w:rPr>
      <w:rFonts w:ascii="Times New Roman" w:hAnsi="Times New Roman" w:eastAsia="黑体" w:cs="Times New Roman"/>
      <w:b/>
      <w:kern w:val="44"/>
      <w:sz w:val="36"/>
      <w:szCs w:val="20"/>
    </w:rPr>
  </w:style>
  <w:style w:type="character" w:customStyle="1" w:styleId="27">
    <w:name w:val="标题 3 字符"/>
    <w:basedOn w:val="21"/>
    <w:link w:val="3"/>
    <w:qFormat/>
    <w:uiPriority w:val="0"/>
    <w:rPr>
      <w:rFonts w:ascii="Times New Roman" w:hAnsi="Times New Roman" w:eastAsia="黑体" w:cs="Times New Roman"/>
      <w:b/>
      <w:kern w:val="44"/>
      <w:sz w:val="32"/>
      <w:szCs w:val="20"/>
    </w:rPr>
  </w:style>
  <w:style w:type="character" w:customStyle="1" w:styleId="28">
    <w:name w:val="文档结构图 字符"/>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字符"/>
    <w:basedOn w:val="21"/>
    <w:link w:val="5"/>
    <w:qFormat/>
    <w:uiPriority w:val="0"/>
    <w:rPr>
      <w:rFonts w:ascii="Times New Roman" w:hAnsi="Times New Roman" w:eastAsia="宋体" w:cs="Times New Roman"/>
      <w:szCs w:val="20"/>
    </w:rPr>
  </w:style>
  <w:style w:type="character" w:customStyle="1" w:styleId="30">
    <w:name w:val="结束语 字符"/>
    <w:basedOn w:val="21"/>
    <w:link w:val="6"/>
    <w:qFormat/>
    <w:uiPriority w:val="0"/>
    <w:rPr>
      <w:rFonts w:ascii="Times New Roman" w:hAnsi="Times New Roman" w:eastAsia="宋体" w:cs="Times New Roman"/>
      <w:szCs w:val="24"/>
    </w:rPr>
  </w:style>
  <w:style w:type="character" w:customStyle="1" w:styleId="31">
    <w:name w:val="正文文本 字符"/>
    <w:basedOn w:val="21"/>
    <w:link w:val="7"/>
    <w:qFormat/>
    <w:uiPriority w:val="0"/>
    <w:rPr>
      <w:rFonts w:ascii="Times New Roman" w:hAnsi="Times New Roman" w:eastAsia="宋体" w:cs="Times New Roman"/>
      <w:szCs w:val="20"/>
    </w:rPr>
  </w:style>
  <w:style w:type="character" w:customStyle="1" w:styleId="32">
    <w:name w:val="纯文本 字符"/>
    <w:basedOn w:val="21"/>
    <w:link w:val="8"/>
    <w:qFormat/>
    <w:uiPriority w:val="0"/>
    <w:rPr>
      <w:rFonts w:ascii="宋体" w:hAnsi="Courier New" w:eastAsia="宋体" w:cs="Times New Roman"/>
      <w:szCs w:val="20"/>
    </w:rPr>
  </w:style>
  <w:style w:type="character" w:customStyle="1" w:styleId="33">
    <w:name w:val="正文文本缩进 字符"/>
    <w:basedOn w:val="21"/>
    <w:link w:val="9"/>
    <w:qFormat/>
    <w:uiPriority w:val="99"/>
    <w:rPr>
      <w:rFonts w:ascii="楷体_GB2312" w:hAnsi="Times New Roman" w:eastAsia="楷体_GB2312" w:cs="Times New Roman"/>
      <w:sz w:val="32"/>
      <w:szCs w:val="20"/>
    </w:rPr>
  </w:style>
  <w:style w:type="character" w:customStyle="1" w:styleId="34">
    <w:name w:val="批注框文本 字符"/>
    <w:basedOn w:val="21"/>
    <w:link w:val="11"/>
    <w:qFormat/>
    <w:uiPriority w:val="0"/>
    <w:rPr>
      <w:rFonts w:ascii="Times New Roman" w:hAnsi="Times New Roman" w:eastAsia="宋体" w:cs="Times New Roman"/>
      <w:sz w:val="18"/>
      <w:szCs w:val="18"/>
    </w:rPr>
  </w:style>
  <w:style w:type="character" w:customStyle="1" w:styleId="35">
    <w:name w:val="页脚 字符"/>
    <w:basedOn w:val="21"/>
    <w:link w:val="12"/>
    <w:qFormat/>
    <w:uiPriority w:val="0"/>
    <w:rPr>
      <w:rFonts w:ascii="Times New Roman" w:hAnsi="Times New Roman" w:eastAsia="宋体" w:cs="Times New Roman"/>
      <w:sz w:val="18"/>
      <w:szCs w:val="18"/>
    </w:rPr>
  </w:style>
  <w:style w:type="character" w:customStyle="1" w:styleId="36">
    <w:name w:val="页眉 字符"/>
    <w:basedOn w:val="21"/>
    <w:link w:val="13"/>
    <w:qFormat/>
    <w:uiPriority w:val="0"/>
    <w:rPr>
      <w:rFonts w:ascii="Times New Roman" w:hAnsi="Times New Roman" w:eastAsia="宋体" w:cs="Times New Roman"/>
      <w:sz w:val="18"/>
      <w:szCs w:val="18"/>
    </w:rPr>
  </w:style>
  <w:style w:type="character" w:customStyle="1" w:styleId="37">
    <w:name w:val="正文文本 2 字符"/>
    <w:basedOn w:val="21"/>
    <w:link w:val="15"/>
    <w:qFormat/>
    <w:uiPriority w:val="0"/>
    <w:rPr>
      <w:rFonts w:ascii="Times New Roman" w:hAnsi="Times New Roman" w:eastAsia="宋体" w:cs="Times New Roman"/>
      <w:szCs w:val="20"/>
    </w:rPr>
  </w:style>
  <w:style w:type="character" w:customStyle="1" w:styleId="38">
    <w:name w:val="批注主题 字符"/>
    <w:basedOn w:val="29"/>
    <w:link w:val="17"/>
    <w:qFormat/>
    <w:uiPriority w:val="0"/>
    <w:rPr>
      <w:rFonts w:ascii="Times New Roman" w:hAnsi="Times New Roman" w:eastAsia="宋体" w:cs="Times New Roman"/>
      <w:b/>
      <w:bCs/>
      <w:szCs w:val="20"/>
    </w:rPr>
  </w:style>
  <w:style w:type="character" w:customStyle="1" w:styleId="39">
    <w:name w:val="正文文本首行缩进 2 字符"/>
    <w:basedOn w:val="33"/>
    <w:link w:val="18"/>
    <w:qFormat/>
    <w:uiPriority w:val="99"/>
    <w:rPr>
      <w:rFonts w:ascii="Times New Roman" w:hAnsi="Times New Roman" w:eastAsia="宋体" w:cs="Times New Roman"/>
      <w:sz w:val="32"/>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1"/>
    <w:basedOn w:val="1"/>
    <w:qFormat/>
    <w:uiPriority w:val="34"/>
    <w:pPr>
      <w:ind w:firstLine="420" w:firstLineChars="200"/>
    </w:pPr>
    <w:rPr>
      <w:rFonts w:ascii="Calibri" w:hAnsi="Calibri"/>
      <w:szCs w:val="22"/>
    </w:rPr>
  </w:style>
  <w:style w:type="paragraph" w:customStyle="1" w:styleId="47">
    <w:name w:val="列表段落1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styleId="50">
    <w:name w:val="List Paragraph"/>
    <w:basedOn w:val="1"/>
    <w:qFormat/>
    <w:uiPriority w:val="34"/>
    <w:pPr>
      <w:ind w:firstLine="420" w:firstLineChars="200"/>
    </w:pPr>
  </w:style>
  <w:style w:type="character" w:customStyle="1" w:styleId="51">
    <w:name w:val="NormalCharacter"/>
    <w:qFormat/>
    <w:uiPriority w:val="0"/>
    <w:rPr>
      <w:rFonts w:ascii="Times New Roman" w:hAnsi="Times New Roman" w:eastAsia="宋体" w:cs="Times New Roman"/>
      <w:kern w:val="2"/>
      <w:sz w:val="21"/>
      <w:szCs w:val="24"/>
      <w:lang w:val="en-US" w:eastAsia="zh-CN" w:bidi="ar-SA"/>
    </w:rPr>
  </w:style>
  <w:style w:type="paragraph" w:customStyle="1" w:styleId="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5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20373</Words>
  <Characters>21603</Characters>
  <Lines>183</Lines>
  <Paragraphs>51</Paragraphs>
  <TotalTime>0</TotalTime>
  <ScaleCrop>false</ScaleCrop>
  <LinksUpToDate>false</LinksUpToDate>
  <CharactersWithSpaces>24429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2024-06-01T03:48:00Z</dcterms:created>
  <dc:creator>Administrator</dc:creator>
  <cp:lastModifiedBy>鄢</cp:lastModifiedBy>
  <cp:lastPrinted>2024-06-07T06:59:00Z</cp:lastPrinted>
  <dcterms:modified xsi:type="dcterms:W3CDTF">2024-06-11T07:54:13Z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2F4F7BE4FC9F4A2A84C00AC872A81A04_13</vt:lpwstr>
  </property>
</Properties>
</file>