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781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附件</w:t>
      </w:r>
      <w:bookmarkStart w:id="0" w:name="_GoBack"/>
      <w:bookmarkEnd w:id="0"/>
    </w:p>
    <w:p w14:paraId="026030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eastAsia"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  <w:lang w:val="en-US" w:eastAsia="zh-CN"/>
        </w:rPr>
        <w:t>福州民天实业有限公司</w:t>
      </w:r>
    </w:p>
    <w:p w14:paraId="345177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default"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  <w:lang w:val="en-US" w:eastAsia="zh-CN"/>
        </w:rPr>
        <w:t>冻品市场安全应急预案编制及安全评估项目</w:t>
      </w:r>
    </w:p>
    <w:p w14:paraId="3AE023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</w:rPr>
      </w:pPr>
      <w:r>
        <w:rPr>
          <w:rFonts w:hint="eastAsia" w:ascii="仿宋_GB2312" w:hAnsi="宋体" w:eastAsia="仿宋_GB2312" w:cs="Tahoma"/>
          <w:b/>
          <w:bCs/>
          <w:color w:val="000000"/>
          <w:spacing w:val="-16"/>
          <w:kern w:val="0"/>
          <w:sz w:val="32"/>
          <w:szCs w:val="32"/>
        </w:rPr>
        <w:t>报价单</w:t>
      </w:r>
    </w:p>
    <w:p w14:paraId="34B811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ascii="仿宋_GB2312" w:hAnsi="Tahoma" w:eastAsia="仿宋_GB2312" w:cs="Tahoma"/>
          <w:color w:val="000000"/>
          <w:kern w:val="0"/>
          <w:sz w:val="28"/>
          <w:szCs w:val="28"/>
        </w:rPr>
      </w:pPr>
    </w:p>
    <w:p w14:paraId="0FBD86DE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ascii="仿宋_GB2312" w:hAnsi="Tahoma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福州民天实业有限公司：</w:t>
      </w:r>
    </w:p>
    <w:p w14:paraId="146632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我公司对贵公司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/>
        </w:rPr>
        <w:t>冻品市场安全应急预案编制及安全评估项目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的含税包干总报价为</w:t>
      </w:r>
      <w:r>
        <w:rPr>
          <w:rFonts w:ascii="仿宋_GB2312" w:hAnsi="Tahoma" w:eastAsia="仿宋_GB2312" w:cs="Tahoma"/>
          <w:color w:val="000000"/>
          <w:kern w:val="0"/>
          <w:sz w:val="28"/>
          <w:szCs w:val="28"/>
          <w:u w:val="none"/>
        </w:rPr>
        <w:t>_______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元（大写</w:t>
      </w:r>
      <w:r>
        <w:rPr>
          <w:rFonts w:ascii="仿宋_GB2312" w:hAnsi="Tahoma" w:eastAsia="仿宋_GB2312" w:cs="Tahoma"/>
          <w:color w:val="000000"/>
          <w:kern w:val="0"/>
          <w:sz w:val="28"/>
          <w:szCs w:val="28"/>
          <w:u w:val="none"/>
        </w:rPr>
        <w:t>_________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元），不含税包干总报价为</w:t>
      </w:r>
      <w:r>
        <w:rPr>
          <w:rFonts w:ascii="仿宋_GB2312" w:hAnsi="Tahoma" w:eastAsia="仿宋_GB2312" w:cs="Tahoma"/>
          <w:color w:val="000000"/>
          <w:kern w:val="0"/>
          <w:sz w:val="28"/>
          <w:szCs w:val="28"/>
          <w:u w:val="none"/>
        </w:rPr>
        <w:t>_______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元（大写</w:t>
      </w:r>
      <w:r>
        <w:rPr>
          <w:rFonts w:ascii="仿宋_GB2312" w:hAnsi="Tahoma" w:eastAsia="仿宋_GB2312" w:cs="Tahoma"/>
          <w:color w:val="000000"/>
          <w:kern w:val="0"/>
          <w:sz w:val="28"/>
          <w:szCs w:val="28"/>
          <w:u w:val="none"/>
        </w:rPr>
        <w:t>________</w:t>
      </w: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元）。</w:t>
      </w:r>
    </w:p>
    <w:p w14:paraId="139A2840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注：</w:t>
      </w:r>
      <w:r>
        <w:rPr>
          <w:rFonts w:ascii="仿宋_GB2312" w:hAnsi="Tahoma" w:eastAsia="仿宋_GB2312" w:cs="Tahoma"/>
          <w:color w:val="000000"/>
          <w:sz w:val="28"/>
          <w:szCs w:val="28"/>
        </w:rPr>
        <w:t>1.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我公司提供的发票为增值税</w:t>
      </w:r>
      <w:r>
        <w:rPr>
          <w:rFonts w:hint="eastAsia" w:ascii="仿宋_GB2312" w:hAnsi="Tahoma" w:eastAsia="仿宋_GB2312" w:cs="Tahoma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发票（请填写普通还是专用）；</w:t>
      </w:r>
    </w:p>
    <w:p w14:paraId="5F573ED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120" w:firstLineChars="400"/>
        <w:textAlignment w:val="auto"/>
        <w:rPr>
          <w:rFonts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2.税率为</w:t>
      </w:r>
      <w:r>
        <w:rPr>
          <w:rFonts w:hint="eastAsia" w:ascii="仿宋_GB2312" w:hAnsi="Tahoma" w:eastAsia="仿宋_GB2312" w:cs="Tahoma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%的增值税专用发票(提供增值税普通发票的无需填写）；</w:t>
      </w:r>
    </w:p>
    <w:p w14:paraId="725CE3A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120" w:firstLineChars="400"/>
        <w:textAlignment w:val="auto"/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  <w:lang w:val="en-US" w:eastAsia="zh-CN" w:bidi="ar-SA"/>
        </w:rPr>
        <w:t>3.所有小写报价均精确到小数点后两位；</w:t>
      </w:r>
    </w:p>
    <w:p w14:paraId="2DFBAC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120" w:firstLineChars="400"/>
        <w:jc w:val="left"/>
        <w:textAlignment w:val="auto"/>
        <w:rPr>
          <w:rFonts w:ascii="仿宋_GB2312" w:hAnsi="仿宋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 xml:space="preserve"> 以上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为包干总报价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包括人工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费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差旅费、伙食费、专家评审费、税费</w:t>
      </w: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</w:rPr>
        <w:t>等所有费用</w:t>
      </w:r>
      <w:r>
        <w:rPr>
          <w:rFonts w:hint="eastAsia" w:ascii="仿宋_GB2312" w:hAnsi="仿宋" w:eastAsia="仿宋_GB2312" w:cs="Tahoma"/>
          <w:color w:val="000000"/>
          <w:sz w:val="28"/>
          <w:szCs w:val="28"/>
        </w:rPr>
        <w:t>；</w:t>
      </w:r>
    </w:p>
    <w:p w14:paraId="0E1D111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120" w:firstLineChars="4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  <w:lang w:eastAsia="zh-CN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.未按以上规定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格式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报价的视为无效报价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eastAsia="zh-CN"/>
        </w:rPr>
        <w:t>；</w:t>
      </w:r>
    </w:p>
    <w:p w14:paraId="2B6CC695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120" w:firstLineChars="400"/>
        <w:textAlignment w:val="auto"/>
        <w:rPr>
          <w:rFonts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6.未填写报价日期和提供的所有材料未盖骑缝章、缺件的视为无效报价。</w:t>
      </w:r>
    </w:p>
    <w:p w14:paraId="14F748BA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840" w:firstLineChars="3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</w:rPr>
      </w:pPr>
    </w:p>
    <w:p w14:paraId="5B2B72E2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840" w:firstLineChars="3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联系人：</w:t>
      </w:r>
      <w:r>
        <w:rPr>
          <w:rFonts w:ascii="仿宋_GB2312" w:hAnsi="Tahoma" w:eastAsia="仿宋_GB2312" w:cs="Tahoma"/>
          <w:color w:val="000000"/>
          <w:sz w:val="28"/>
          <w:szCs w:val="28"/>
        </w:rPr>
        <w:t xml:space="preserve">                  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联系电话：</w:t>
      </w:r>
    </w:p>
    <w:p w14:paraId="6EF20A3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840" w:firstLineChars="3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</w:rPr>
      </w:pPr>
    </w:p>
    <w:p w14:paraId="0F1CA2D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附</w:t>
      </w:r>
      <w:r>
        <w:rPr>
          <w:rFonts w:ascii="仿宋_GB2312" w:hAnsi="Tahoma" w:eastAsia="仿宋_GB2312" w:cs="Tahoma"/>
          <w:color w:val="000000"/>
          <w:sz w:val="28"/>
          <w:szCs w:val="28"/>
        </w:rPr>
        <w:t>:1.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统一社会信用代码营业执照复印件（盖章）</w:t>
      </w:r>
    </w:p>
    <w:p w14:paraId="697801C0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ahoma"/>
          <w:color w:val="000000"/>
          <w:kern w:val="0"/>
          <w:sz w:val="28"/>
          <w:szCs w:val="28"/>
          <w:lang w:val="en-US" w:eastAsia="zh-CN"/>
        </w:rPr>
        <w:t>2.安全评价机构资质证书复印件（盖章）；</w:t>
      </w:r>
    </w:p>
    <w:p w14:paraId="35BD163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3</w:t>
      </w:r>
      <w:r>
        <w:rPr>
          <w:rFonts w:ascii="仿宋_GB2312" w:hAnsi="Tahoma" w:eastAsia="仿宋_GB2312" w:cs="Tahoma"/>
          <w:color w:val="000000"/>
          <w:sz w:val="28"/>
          <w:szCs w:val="28"/>
        </w:rPr>
        <w:t>.20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2</w:t>
      </w: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年纳税人信用等级证明（盖章）</w:t>
      </w:r>
    </w:p>
    <w:p w14:paraId="4FA6C0AE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.“信用中国”网站的查询结果打印件或截图（盖章）</w:t>
      </w:r>
    </w:p>
    <w:p w14:paraId="0F9BF28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040" w:firstLineChars="1800"/>
        <w:textAlignment w:val="auto"/>
        <w:rPr>
          <w:rFonts w:ascii="仿宋_GB2312" w:hAnsi="Tahoma" w:eastAsia="仿宋_GB2312" w:cs="Tahoma"/>
          <w:color w:val="00000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sz w:val="28"/>
          <w:szCs w:val="28"/>
        </w:rPr>
        <w:t>报价单位：</w:t>
      </w:r>
    </w:p>
    <w:p w14:paraId="43AFF18A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ascii="仿宋_GB2312" w:hAnsi="Tahoma" w:eastAsia="仿宋_GB2312" w:cs="Tahoma"/>
          <w:color w:val="000000"/>
          <w:sz w:val="28"/>
          <w:szCs w:val="28"/>
        </w:rPr>
      </w:pPr>
      <w:r>
        <w:rPr>
          <w:rFonts w:ascii="仿宋_GB2312" w:hAnsi="Tahoma" w:eastAsia="仿宋_GB2312" w:cs="Tahoma"/>
          <w:color w:val="000000"/>
          <w:sz w:val="28"/>
          <w:szCs w:val="28"/>
        </w:rPr>
        <w:t xml:space="preserve">                                    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（盖章）</w:t>
      </w:r>
    </w:p>
    <w:p w14:paraId="6F03F8C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</w:pPr>
      <w:r>
        <w:rPr>
          <w:rFonts w:ascii="仿宋_GB2312" w:hAnsi="Tahoma" w:eastAsia="仿宋_GB2312" w:cs="Tahoma"/>
          <w:color w:val="000000"/>
          <w:sz w:val="28"/>
          <w:szCs w:val="28"/>
        </w:rPr>
        <w:t xml:space="preserve">                       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 xml:space="preserve">             时</w:t>
      </w:r>
      <w:r>
        <w:rPr>
          <w:rFonts w:ascii="仿宋_GB2312" w:hAnsi="Tahoma" w:eastAsia="仿宋_GB2312" w:cs="Tahoma"/>
          <w:color w:val="000000"/>
          <w:sz w:val="28"/>
          <w:szCs w:val="28"/>
        </w:rPr>
        <w:t xml:space="preserve">    </w:t>
      </w:r>
      <w:r>
        <w:rPr>
          <w:rFonts w:hint="eastAsia" w:ascii="仿宋_GB2312" w:hAnsi="Tahoma" w:eastAsia="仿宋_GB2312" w:cs="Tahoma"/>
          <w:color w:val="000000"/>
          <w:sz w:val="28"/>
          <w:szCs w:val="28"/>
        </w:rPr>
        <w:t>间：</w:t>
      </w:r>
    </w:p>
    <w:sectPr>
      <w:footerReference r:id="rId3" w:type="default"/>
      <w:footerReference r:id="rId4" w:type="even"/>
      <w:pgSz w:w="11907" w:h="16840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61E57">
    <w:pPr>
      <w:pStyle w:val="7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4</w:t>
    </w:r>
    <w:r>
      <w:rPr>
        <w:rStyle w:val="10"/>
      </w:rPr>
      <w:fldChar w:fldCharType="end"/>
    </w:r>
  </w:p>
  <w:p w14:paraId="2CAF4C58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7B302">
    <w:pPr>
      <w:pStyle w:val="7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1C9EBDB7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90D6E"/>
    <w:rsid w:val="050B05F6"/>
    <w:rsid w:val="27990D6E"/>
    <w:rsid w:val="33F2785F"/>
    <w:rsid w:val="7ECD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customStyle="1" w:styleId="4">
    <w:name w:val="样式 标题 3 + (中文) 黑体 小四 非加粗 段前: 7.8 磅 段后: 0 磅 行距: 固定值 20 磅"/>
    <w:basedOn w:val="5"/>
    <w:qFormat/>
    <w:uiPriority w:val="0"/>
    <w:pPr>
      <w:keepNext/>
      <w:keepLines/>
      <w:numPr>
        <w:ilvl w:val="0"/>
        <w:numId w:val="0"/>
      </w:numPr>
      <w:spacing w:line="400" w:lineRule="exact"/>
    </w:pPr>
    <w:rPr>
      <w:rFonts w:ascii="Times New Roman" w:hAnsi="Times New Roman" w:eastAsia="黑体" w:cs="Times New Roman"/>
      <w:szCs w:val="20"/>
    </w:rPr>
  </w:style>
  <w:style w:type="paragraph" w:customStyle="1" w:styleId="6">
    <w:name w:val="*正文"/>
    <w:basedOn w:val="1"/>
    <w:qFormat/>
    <w:uiPriority w:val="0"/>
    <w:pPr>
      <w:tabs>
        <w:tab w:val="left" w:pos="146"/>
      </w:tabs>
      <w:ind w:firstLine="482"/>
    </w:pPr>
    <w:rPr>
      <w:rFonts w:cs="仿宋_GB2312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10">
    <w:name w:val="page number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2025-04-21T06:45:00Z</dcterms:created>
  <dc:creator>鄢</dc:creator>
  <cp:lastModifiedBy>鄢</cp:lastModifiedBy>
  <dcterms:modified xsi:type="dcterms:W3CDTF">2025-04-21T06:45:31Z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30F375E64DDE410FAD41B420FA0D8750_11</vt:lpwstr>
  </property>
  <property fmtid="{D5CDD505-2E9C-101B-9397-08002B2CF9AE}" pid="4" name="KSOTemplateDocerSaveRecord">
    <vt:lpwstr>eyJoZGlkIjoiZTQ0NjIxOWRmYTVhY2FhYjIxOTFiOTgyY2Y1NjEwNDgiLCJ1c2VySWQiOiIzMDYwNDA5MiJ9</vt:lpwstr>
  </property>
</Properties>
</file>